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C0D5" w14:textId="77777777" w:rsidR="00604803" w:rsidRPr="00274FAB" w:rsidRDefault="00604803">
      <w:pPr>
        <w:rPr>
          <w:lang w:val="en-US"/>
        </w:rPr>
      </w:pPr>
    </w:p>
    <w:p w14:paraId="62845EBE" w14:textId="14E2A792" w:rsidR="00830749" w:rsidRPr="00DA44D5" w:rsidRDefault="002A585D">
      <w:pPr>
        <w:rPr>
          <w:b/>
          <w:bCs/>
          <w:sz w:val="32"/>
          <w:szCs w:val="32"/>
          <w:lang w:val="en-US"/>
        </w:rPr>
      </w:pPr>
      <w:r w:rsidRPr="00DA44D5">
        <w:rPr>
          <w:b/>
          <w:bCs/>
          <w:sz w:val="32"/>
          <w:szCs w:val="32"/>
          <w:lang w:val="en-US"/>
        </w:rPr>
        <w:t xml:space="preserve">Shortening of the </w:t>
      </w:r>
      <w:r w:rsidR="009A7770" w:rsidRPr="00DA44D5">
        <w:rPr>
          <w:b/>
          <w:bCs/>
          <w:sz w:val="32"/>
          <w:szCs w:val="32"/>
          <w:lang w:val="en-US"/>
        </w:rPr>
        <w:t xml:space="preserve">securities </w:t>
      </w:r>
      <w:r w:rsidRPr="00DA44D5">
        <w:rPr>
          <w:b/>
          <w:bCs/>
          <w:sz w:val="32"/>
          <w:szCs w:val="32"/>
          <w:lang w:val="en-US"/>
        </w:rPr>
        <w:t>settlement cycle to T+1 in Sweden</w:t>
      </w:r>
    </w:p>
    <w:p w14:paraId="6E772519" w14:textId="67846734" w:rsidR="00BE356B" w:rsidRPr="00DA44D5" w:rsidRDefault="00C36F05">
      <w:pPr>
        <w:rPr>
          <w:i/>
          <w:iCs/>
          <w:lang w:val="en-US"/>
        </w:rPr>
      </w:pPr>
      <w:r w:rsidRPr="00DA44D5">
        <w:rPr>
          <w:i/>
          <w:iCs/>
          <w:lang w:val="en-US"/>
        </w:rPr>
        <w:t xml:space="preserve">In December 2024 the European and </w:t>
      </w:r>
      <w:r w:rsidR="001249E2" w:rsidRPr="00DA44D5">
        <w:rPr>
          <w:i/>
          <w:iCs/>
          <w:lang w:val="en-US"/>
        </w:rPr>
        <w:t>Securities</w:t>
      </w:r>
      <w:r w:rsidRPr="00DA44D5">
        <w:rPr>
          <w:i/>
          <w:iCs/>
          <w:lang w:val="en-US"/>
        </w:rPr>
        <w:t xml:space="preserve"> Markets Authority (ESMA) published a </w:t>
      </w:r>
      <w:hyperlink r:id="rId10" w:history="1">
        <w:r w:rsidRPr="00DA44D5">
          <w:rPr>
            <w:rStyle w:val="Hyperlnk"/>
            <w:i/>
            <w:iCs/>
            <w:lang w:val="en-US"/>
          </w:rPr>
          <w:t>report</w:t>
        </w:r>
      </w:hyperlink>
      <w:r w:rsidRPr="00DA44D5">
        <w:rPr>
          <w:i/>
          <w:iCs/>
          <w:lang w:val="en-US"/>
        </w:rPr>
        <w:t xml:space="preserve"> on the shortening of the settlement cycle in the European Union.</w:t>
      </w:r>
      <w:r w:rsidR="00E77C95" w:rsidRPr="00DA44D5">
        <w:rPr>
          <w:i/>
          <w:iCs/>
          <w:lang w:val="en-US"/>
        </w:rPr>
        <w:t xml:space="preserve"> Section </w:t>
      </w:r>
      <w:r w:rsidR="007F236C" w:rsidRPr="00DA44D5">
        <w:rPr>
          <w:i/>
          <w:iCs/>
          <w:lang w:val="en-US"/>
        </w:rPr>
        <w:t>3.1.1 in the report describes how a</w:t>
      </w:r>
      <w:r w:rsidR="00357553">
        <w:rPr>
          <w:i/>
          <w:iCs/>
          <w:lang w:val="en-US"/>
        </w:rPr>
        <w:t>n</w:t>
      </w:r>
      <w:r w:rsidR="007F236C" w:rsidRPr="00DA44D5">
        <w:rPr>
          <w:i/>
          <w:iCs/>
          <w:lang w:val="en-US"/>
        </w:rPr>
        <w:t xml:space="preserve"> </w:t>
      </w:r>
      <w:r w:rsidR="00B602C5">
        <w:rPr>
          <w:i/>
          <w:iCs/>
          <w:lang w:val="en-US"/>
        </w:rPr>
        <w:t>equity</w:t>
      </w:r>
      <w:r w:rsidR="007F236C" w:rsidRPr="00DA44D5">
        <w:rPr>
          <w:i/>
          <w:iCs/>
          <w:lang w:val="en-US"/>
        </w:rPr>
        <w:t xml:space="preserve"> transaction settle</w:t>
      </w:r>
      <w:r w:rsidR="00357553">
        <w:rPr>
          <w:i/>
          <w:iCs/>
          <w:lang w:val="en-US"/>
        </w:rPr>
        <w:t>s</w:t>
      </w:r>
      <w:r w:rsidR="007F236C" w:rsidRPr="00DA44D5">
        <w:rPr>
          <w:i/>
          <w:iCs/>
          <w:lang w:val="en-US"/>
        </w:rPr>
        <w:t xml:space="preserve"> in the EU today.</w:t>
      </w:r>
      <w:r w:rsidR="00E36318" w:rsidRPr="00DA44D5">
        <w:rPr>
          <w:i/>
          <w:iCs/>
          <w:lang w:val="en-US"/>
        </w:rPr>
        <w:t xml:space="preserve"> A </w:t>
      </w:r>
      <w:r w:rsidR="00962EFE" w:rsidRPr="00DA44D5">
        <w:rPr>
          <w:i/>
          <w:iCs/>
          <w:lang w:val="en-US"/>
        </w:rPr>
        <w:t xml:space="preserve">lot of the information in the </w:t>
      </w:r>
      <w:r w:rsidR="00F24AB4" w:rsidRPr="00DA44D5">
        <w:rPr>
          <w:i/>
          <w:iCs/>
          <w:lang w:val="en-US"/>
        </w:rPr>
        <w:t xml:space="preserve">section </w:t>
      </w:r>
      <w:r w:rsidR="00962EFE" w:rsidRPr="00DA44D5">
        <w:rPr>
          <w:i/>
          <w:iCs/>
          <w:lang w:val="en-US"/>
        </w:rPr>
        <w:t>is relevant</w:t>
      </w:r>
      <w:r w:rsidR="00577117" w:rsidRPr="00DA44D5">
        <w:rPr>
          <w:i/>
          <w:iCs/>
          <w:lang w:val="en-US"/>
        </w:rPr>
        <w:t xml:space="preserve"> for the Swedish market, but there are also Swedish specif</w:t>
      </w:r>
      <w:r w:rsidR="00EE7C59">
        <w:rPr>
          <w:i/>
          <w:iCs/>
          <w:lang w:val="en-US"/>
        </w:rPr>
        <w:t>ic</w:t>
      </w:r>
      <w:r w:rsidR="00577117" w:rsidRPr="00DA44D5">
        <w:rPr>
          <w:i/>
          <w:iCs/>
          <w:lang w:val="en-US"/>
        </w:rPr>
        <w:t>ities</w:t>
      </w:r>
      <w:r w:rsidR="0037453C" w:rsidRPr="00DA44D5">
        <w:rPr>
          <w:i/>
          <w:iCs/>
          <w:lang w:val="en-US"/>
        </w:rPr>
        <w:t xml:space="preserve">, e.g. since Sweden </w:t>
      </w:r>
      <w:r w:rsidR="008537CD" w:rsidRPr="00DA44D5">
        <w:rPr>
          <w:i/>
          <w:iCs/>
          <w:lang w:val="en-US"/>
        </w:rPr>
        <w:t>does</w:t>
      </w:r>
      <w:r w:rsidR="0037453C" w:rsidRPr="00DA44D5">
        <w:rPr>
          <w:i/>
          <w:iCs/>
          <w:lang w:val="en-US"/>
        </w:rPr>
        <w:t xml:space="preserve"> not</w:t>
      </w:r>
      <w:r w:rsidR="008537CD" w:rsidRPr="00DA44D5">
        <w:rPr>
          <w:i/>
          <w:iCs/>
          <w:lang w:val="en-US"/>
        </w:rPr>
        <w:t xml:space="preserve"> </w:t>
      </w:r>
      <w:r w:rsidR="00CE73F5" w:rsidRPr="00CA4242">
        <w:rPr>
          <w:i/>
          <w:iCs/>
          <w:lang w:val="en-US"/>
        </w:rPr>
        <w:t xml:space="preserve">currently </w:t>
      </w:r>
      <w:r w:rsidR="008537CD" w:rsidRPr="00DA44D5">
        <w:rPr>
          <w:i/>
          <w:iCs/>
          <w:lang w:val="en-US"/>
        </w:rPr>
        <w:t>use the</w:t>
      </w:r>
      <w:r w:rsidR="0037453C" w:rsidRPr="00DA44D5">
        <w:rPr>
          <w:i/>
          <w:iCs/>
          <w:lang w:val="en-US"/>
        </w:rPr>
        <w:t xml:space="preserve"> </w:t>
      </w:r>
      <w:r w:rsidR="008537CD" w:rsidRPr="00DA44D5">
        <w:rPr>
          <w:i/>
          <w:iCs/>
          <w:lang w:val="en-US"/>
        </w:rPr>
        <w:t xml:space="preserve">European TARGET2-Securities (T2S) platform for settlement of securities. </w:t>
      </w:r>
      <w:r w:rsidR="007A29BF" w:rsidRPr="00DA44D5">
        <w:rPr>
          <w:i/>
          <w:iCs/>
          <w:lang w:val="en-US"/>
        </w:rPr>
        <w:t>A working group within the Swedish Securities</w:t>
      </w:r>
      <w:r w:rsidR="00931BF8" w:rsidRPr="00DA44D5">
        <w:rPr>
          <w:i/>
          <w:iCs/>
          <w:lang w:val="en-US"/>
        </w:rPr>
        <w:t xml:space="preserve"> Markets Association, together with Euroclear Sweden</w:t>
      </w:r>
      <w:r w:rsidR="00A84A07" w:rsidRPr="00DA44D5">
        <w:rPr>
          <w:i/>
          <w:iCs/>
          <w:lang w:val="en-US"/>
        </w:rPr>
        <w:t>,</w:t>
      </w:r>
      <w:r w:rsidR="00931BF8" w:rsidRPr="00DA44D5">
        <w:rPr>
          <w:i/>
          <w:iCs/>
          <w:lang w:val="en-US"/>
        </w:rPr>
        <w:t xml:space="preserve"> has </w:t>
      </w:r>
      <w:r w:rsidR="000A148B" w:rsidRPr="00DA44D5">
        <w:rPr>
          <w:i/>
          <w:iCs/>
          <w:lang w:val="en-US"/>
        </w:rPr>
        <w:t>complement</w:t>
      </w:r>
      <w:r w:rsidR="00B56EB4">
        <w:rPr>
          <w:i/>
          <w:iCs/>
          <w:lang w:val="en-US"/>
        </w:rPr>
        <w:t>ed</w:t>
      </w:r>
      <w:r w:rsidR="000A148B" w:rsidRPr="00DA44D5">
        <w:rPr>
          <w:i/>
          <w:iCs/>
          <w:lang w:val="en-US"/>
        </w:rPr>
        <w:t xml:space="preserve"> the </w:t>
      </w:r>
      <w:r w:rsidR="007A29BF" w:rsidRPr="00DA44D5">
        <w:rPr>
          <w:i/>
          <w:iCs/>
          <w:lang w:val="en-US"/>
        </w:rPr>
        <w:t xml:space="preserve">information in ESMA’s report </w:t>
      </w:r>
      <w:r w:rsidR="00B566E9" w:rsidRPr="00DA44D5">
        <w:rPr>
          <w:i/>
          <w:iCs/>
          <w:lang w:val="en-US"/>
        </w:rPr>
        <w:t xml:space="preserve">with </w:t>
      </w:r>
      <w:r w:rsidR="00832693" w:rsidRPr="00DA44D5">
        <w:rPr>
          <w:i/>
          <w:iCs/>
          <w:lang w:val="en-US"/>
        </w:rPr>
        <w:t xml:space="preserve">information </w:t>
      </w:r>
      <w:r w:rsidR="00905EDB">
        <w:rPr>
          <w:i/>
          <w:iCs/>
          <w:lang w:val="en-US"/>
        </w:rPr>
        <w:t>relevant for</w:t>
      </w:r>
      <w:r w:rsidR="00832693" w:rsidRPr="00DA44D5">
        <w:rPr>
          <w:i/>
          <w:iCs/>
          <w:lang w:val="en-US"/>
        </w:rPr>
        <w:t xml:space="preserve"> the </w:t>
      </w:r>
      <w:r w:rsidR="00A84A07" w:rsidRPr="00DA44D5">
        <w:rPr>
          <w:i/>
          <w:iCs/>
          <w:lang w:val="en-US"/>
        </w:rPr>
        <w:t>S</w:t>
      </w:r>
      <w:r w:rsidR="00832693" w:rsidRPr="00DA44D5">
        <w:rPr>
          <w:i/>
          <w:iCs/>
          <w:lang w:val="en-US"/>
        </w:rPr>
        <w:t>wedish market</w:t>
      </w:r>
      <w:r w:rsidR="00B413C4" w:rsidRPr="00DA44D5">
        <w:rPr>
          <w:i/>
          <w:iCs/>
          <w:lang w:val="en-US"/>
        </w:rPr>
        <w:t>, to aid the</w:t>
      </w:r>
      <w:r w:rsidR="000627EA" w:rsidRPr="00DA44D5">
        <w:rPr>
          <w:i/>
          <w:iCs/>
          <w:lang w:val="en-US"/>
        </w:rPr>
        <w:t xml:space="preserve"> market participants’</w:t>
      </w:r>
      <w:r w:rsidR="00B413C4" w:rsidRPr="00DA44D5">
        <w:rPr>
          <w:i/>
          <w:iCs/>
          <w:lang w:val="en-US"/>
        </w:rPr>
        <w:t xml:space="preserve"> </w:t>
      </w:r>
      <w:r w:rsidR="00830749" w:rsidRPr="00DA44D5">
        <w:rPr>
          <w:i/>
          <w:iCs/>
          <w:lang w:val="en-US"/>
        </w:rPr>
        <w:t>transition to T+1 in Sweden.</w:t>
      </w:r>
      <w:r w:rsidR="00A05C62" w:rsidRPr="00DA44D5">
        <w:rPr>
          <w:i/>
          <w:iCs/>
          <w:lang w:val="en-US"/>
        </w:rPr>
        <w:t xml:space="preserve"> </w:t>
      </w:r>
      <w:r w:rsidR="001B340E">
        <w:rPr>
          <w:i/>
          <w:iCs/>
          <w:lang w:val="en-US"/>
        </w:rPr>
        <w:t xml:space="preserve">Added information is in red. </w:t>
      </w:r>
      <w:r w:rsidR="00A05C62" w:rsidRPr="00DA44D5">
        <w:rPr>
          <w:i/>
          <w:iCs/>
          <w:lang w:val="en-US"/>
        </w:rPr>
        <w:t>The paper should be</w:t>
      </w:r>
      <w:r w:rsidR="003A16B3" w:rsidRPr="00DA44D5">
        <w:rPr>
          <w:i/>
          <w:iCs/>
          <w:lang w:val="en-US"/>
        </w:rPr>
        <w:t xml:space="preserve"> considered work-in-</w:t>
      </w:r>
      <w:r w:rsidR="00DB23DE" w:rsidRPr="00DB23DE">
        <w:rPr>
          <w:i/>
          <w:iCs/>
          <w:lang w:val="en-US"/>
        </w:rPr>
        <w:t>progress,</w:t>
      </w:r>
      <w:r w:rsidR="003A16B3" w:rsidRPr="00DA44D5">
        <w:rPr>
          <w:i/>
          <w:iCs/>
          <w:lang w:val="en-US"/>
        </w:rPr>
        <w:t xml:space="preserve"> and </w:t>
      </w:r>
      <w:r w:rsidR="00ED2AB1">
        <w:rPr>
          <w:i/>
          <w:iCs/>
          <w:lang w:val="en-US"/>
        </w:rPr>
        <w:t xml:space="preserve">it </w:t>
      </w:r>
      <w:r w:rsidR="00486840" w:rsidRPr="00DA44D5">
        <w:rPr>
          <w:i/>
          <w:iCs/>
          <w:lang w:val="en-US"/>
        </w:rPr>
        <w:t>might be amended and updated.</w:t>
      </w:r>
      <w:r w:rsidR="00B84C6C">
        <w:rPr>
          <w:i/>
          <w:iCs/>
          <w:lang w:val="en-US"/>
        </w:rPr>
        <w:t xml:space="preserve"> </w:t>
      </w:r>
      <w:r w:rsidR="00587A12">
        <w:rPr>
          <w:i/>
          <w:iCs/>
          <w:lang w:val="en-US"/>
        </w:rPr>
        <w:t xml:space="preserve">If </w:t>
      </w:r>
      <w:r w:rsidR="007062AF">
        <w:rPr>
          <w:i/>
          <w:iCs/>
          <w:lang w:val="en-US"/>
        </w:rPr>
        <w:t xml:space="preserve">you read this paper and notice any errors or </w:t>
      </w:r>
      <w:r w:rsidR="0049457F">
        <w:rPr>
          <w:i/>
          <w:iCs/>
          <w:lang w:val="en-US"/>
        </w:rPr>
        <w:t>inconsistencies</w:t>
      </w:r>
      <w:r w:rsidR="007062AF">
        <w:rPr>
          <w:i/>
          <w:iCs/>
          <w:lang w:val="en-US"/>
        </w:rPr>
        <w:t xml:space="preserve">, or wish to </w:t>
      </w:r>
      <w:r w:rsidR="0049457F">
        <w:rPr>
          <w:i/>
          <w:iCs/>
          <w:lang w:val="en-US"/>
        </w:rPr>
        <w:t xml:space="preserve">contribute with relevant information, please contact </w:t>
      </w:r>
      <w:r w:rsidR="00BB0896">
        <w:rPr>
          <w:i/>
          <w:iCs/>
          <w:lang w:val="en-US"/>
        </w:rPr>
        <w:t>Jenny@svpm.se</w:t>
      </w:r>
      <w:r w:rsidR="0049457F">
        <w:rPr>
          <w:i/>
          <w:iCs/>
          <w:lang w:val="en-US"/>
        </w:rPr>
        <w:t xml:space="preserve">. </w:t>
      </w:r>
      <w:r w:rsidR="00486840" w:rsidRPr="00DA44D5">
        <w:rPr>
          <w:i/>
          <w:iCs/>
          <w:lang w:val="en-US"/>
        </w:rPr>
        <w:t xml:space="preserve"> </w:t>
      </w:r>
    </w:p>
    <w:p w14:paraId="396CD1F4" w14:textId="77777777" w:rsidR="00BE356B" w:rsidRPr="00274FAB" w:rsidRDefault="00BE356B">
      <w:pPr>
        <w:rPr>
          <w:lang w:val="en-US"/>
        </w:rPr>
      </w:pPr>
    </w:p>
    <w:p w14:paraId="5363B2B6" w14:textId="5520CEF2" w:rsidR="00BE356B" w:rsidRPr="00274FAB" w:rsidRDefault="005B6385">
      <w:pPr>
        <w:rPr>
          <w:lang w:val="en-US"/>
        </w:rPr>
      </w:pPr>
      <w:r>
        <w:rPr>
          <w:lang w:val="en-US"/>
        </w:rPr>
        <w:t xml:space="preserve">The following paragraphs refer to </w:t>
      </w:r>
      <w:r w:rsidR="00FF02A3">
        <w:rPr>
          <w:lang w:val="en-US"/>
        </w:rPr>
        <w:t>section 3.1.1</w:t>
      </w:r>
      <w:r w:rsidR="009C7985">
        <w:rPr>
          <w:lang w:val="en-US"/>
        </w:rPr>
        <w:t>, How does a securities transaction settle in the EU today?</w:t>
      </w:r>
      <w:r w:rsidR="00FF02A3">
        <w:rPr>
          <w:lang w:val="en-US"/>
        </w:rPr>
        <w:t xml:space="preserve"> in ESMA’s report. </w:t>
      </w:r>
      <w:r w:rsidR="003260C3">
        <w:rPr>
          <w:lang w:val="en-US"/>
        </w:rPr>
        <w:t xml:space="preserve">Amendments and additions relevant to </w:t>
      </w:r>
      <w:r w:rsidR="009D7910">
        <w:rPr>
          <w:lang w:val="en-US"/>
        </w:rPr>
        <w:t>the Swedish market are market in red.</w:t>
      </w:r>
    </w:p>
    <w:p w14:paraId="3E18F368" w14:textId="0BDAD761" w:rsidR="00BE356B" w:rsidRDefault="00BE356B">
      <w:pPr>
        <w:rPr>
          <w:lang w:val="en-US"/>
        </w:rPr>
      </w:pPr>
      <w:r>
        <w:rPr>
          <w:lang w:val="en-US"/>
        </w:rPr>
        <w:t xml:space="preserve">16. </w:t>
      </w:r>
      <w:r w:rsidRPr="00EB4B04">
        <w:rPr>
          <w:b/>
          <w:bCs/>
          <w:lang w:val="en-US"/>
        </w:rPr>
        <w:t>For equity markets</w:t>
      </w:r>
      <w:r w:rsidRPr="00BE356B">
        <w:rPr>
          <w:lang w:val="en-US"/>
        </w:rPr>
        <w:t>, an average trade lifecycle unfolds as follows: the customer (e.g. the buyer or seller) sends an order to its broker or directly to its trading member, who sends it to the trading venue</w:t>
      </w:r>
      <w:r w:rsidR="008109A8">
        <w:rPr>
          <w:color w:val="FF0000"/>
          <w:lang w:val="en-US"/>
        </w:rPr>
        <w:t>, which</w:t>
      </w:r>
      <w:r w:rsidR="00066C6F">
        <w:rPr>
          <w:color w:val="FF0000"/>
          <w:lang w:val="en-US"/>
        </w:rPr>
        <w:t xml:space="preserve"> </w:t>
      </w:r>
      <w:r w:rsidR="003A5913">
        <w:rPr>
          <w:color w:val="FF0000"/>
          <w:lang w:val="en-US"/>
        </w:rPr>
        <w:t>for equity markets</w:t>
      </w:r>
      <w:r w:rsidR="008109A8">
        <w:rPr>
          <w:color w:val="FF0000"/>
          <w:lang w:val="en-US"/>
        </w:rPr>
        <w:t xml:space="preserve"> is open </w:t>
      </w:r>
      <w:r w:rsidR="00BC6410">
        <w:rPr>
          <w:color w:val="FF0000"/>
          <w:lang w:val="en-US"/>
        </w:rPr>
        <w:t>9.00-17.30</w:t>
      </w:r>
      <w:r w:rsidRPr="00BE356B">
        <w:rPr>
          <w:lang w:val="en-US"/>
        </w:rPr>
        <w:t xml:space="preserve">. </w:t>
      </w:r>
    </w:p>
    <w:p w14:paraId="4D9CBE5C" w14:textId="40BFF7A4" w:rsidR="00BE356B" w:rsidRDefault="00BE356B">
      <w:pPr>
        <w:rPr>
          <w:lang w:val="en-US"/>
        </w:rPr>
      </w:pPr>
      <w:r w:rsidRPr="00BE356B">
        <w:rPr>
          <w:lang w:val="en-US"/>
        </w:rPr>
        <w:t>17. Once the execution of the trade has been notified to the trading member, broker and client (trade execution confirmation), they exchange information as to the securities and cash which will be allocated to the trade and the accounts where to find them (allocation) and the broker confirms the allocation (confirmation). The allocation and the confirmation can be done simultaneously. This is to allow a safe and efficient settlement and can be performed on a dedicated platform, or on a bilateral basis.</w:t>
      </w:r>
    </w:p>
    <w:p w14:paraId="0D2F100E" w14:textId="6C3E1DB3" w:rsidR="006D1355" w:rsidRPr="0079236C" w:rsidRDefault="00CC1042">
      <w:pPr>
        <w:rPr>
          <w:color w:val="FF0000"/>
          <w:lang w:val="en-US"/>
        </w:rPr>
      </w:pPr>
      <w:r>
        <w:rPr>
          <w:lang w:val="en-US"/>
        </w:rPr>
        <w:t xml:space="preserve">18. </w:t>
      </w:r>
      <w:r w:rsidRPr="00CC1042">
        <w:rPr>
          <w:lang w:val="en-US"/>
        </w:rPr>
        <w:t>If the trade has to be cleared by a CCP (based on a regulatory requirement, on the rules of the trading venue or on the agreement of the trading parties), the CCP receives the notification of the trade executions from the trading venue and interposes itself in the transaction, i.e. becomes the seller to the buyer and the buyer to the seller (the novation process).</w:t>
      </w:r>
      <w:r w:rsidR="006A155E">
        <w:rPr>
          <w:lang w:val="en-US"/>
        </w:rPr>
        <w:t xml:space="preserve"> </w:t>
      </w:r>
    </w:p>
    <w:p w14:paraId="352716E6" w14:textId="636B450D" w:rsidR="00774640" w:rsidRDefault="00774640">
      <w:pPr>
        <w:rPr>
          <w:lang w:val="en-US"/>
        </w:rPr>
      </w:pPr>
      <w:r>
        <w:rPr>
          <w:lang w:val="en-US"/>
        </w:rPr>
        <w:t xml:space="preserve">19. </w:t>
      </w:r>
      <w:r w:rsidRPr="00774640">
        <w:rPr>
          <w:lang w:val="en-US"/>
        </w:rPr>
        <w:t xml:space="preserve">After reconciling information on trades with the trading venue, the CCP nets all trades (e.g., per ISIN or per ISIN and per trading member) and determines what should effectively be settled (this may imply that the settlement of one settlement instruction between two stakeholders is in fact the result of netting of many more transactions). The CCP sends settlement instructions to settlement agents and CSDs. </w:t>
      </w:r>
      <w:r w:rsidR="00CD1DAF">
        <w:rPr>
          <w:color w:val="FF0000"/>
          <w:lang w:val="en-US"/>
        </w:rPr>
        <w:t xml:space="preserve">The </w:t>
      </w:r>
      <w:r w:rsidR="0080687E">
        <w:rPr>
          <w:color w:val="FF0000"/>
          <w:lang w:val="en-US"/>
        </w:rPr>
        <w:t>CCPs send a file with the</w:t>
      </w:r>
      <w:r w:rsidR="004D11C6">
        <w:rPr>
          <w:color w:val="FF0000"/>
          <w:lang w:val="en-US"/>
        </w:rPr>
        <w:t xml:space="preserve"> </w:t>
      </w:r>
      <w:r w:rsidR="0080687E">
        <w:rPr>
          <w:color w:val="FF0000"/>
          <w:lang w:val="en-US"/>
        </w:rPr>
        <w:t xml:space="preserve">result of the netting of the trades to the </w:t>
      </w:r>
      <w:r w:rsidR="009E1CDC">
        <w:rPr>
          <w:color w:val="FF0000"/>
          <w:lang w:val="en-US"/>
        </w:rPr>
        <w:t>CCP participants</w:t>
      </w:r>
      <w:r w:rsidR="004B4430">
        <w:rPr>
          <w:color w:val="FF0000"/>
          <w:lang w:val="en-US"/>
        </w:rPr>
        <w:t xml:space="preserve"> </w:t>
      </w:r>
      <w:r w:rsidR="008A389F">
        <w:rPr>
          <w:color w:val="FF0000"/>
          <w:lang w:val="en-US"/>
        </w:rPr>
        <w:t xml:space="preserve">at the latest </w:t>
      </w:r>
      <w:r w:rsidR="0080687E">
        <w:rPr>
          <w:color w:val="FF0000"/>
          <w:lang w:val="en-US"/>
        </w:rPr>
        <w:t>in the morning on T+1</w:t>
      </w:r>
      <w:r w:rsidR="00906939">
        <w:rPr>
          <w:color w:val="FF0000"/>
          <w:lang w:val="en-US"/>
        </w:rPr>
        <w:t xml:space="preserve">. The </w:t>
      </w:r>
      <w:r w:rsidR="0083111C">
        <w:rPr>
          <w:color w:val="FF0000"/>
          <w:lang w:val="en-US"/>
        </w:rPr>
        <w:t xml:space="preserve">settlement instructions are then sent </w:t>
      </w:r>
      <w:r w:rsidR="006F1977">
        <w:rPr>
          <w:color w:val="FF0000"/>
          <w:lang w:val="en-US"/>
        </w:rPr>
        <w:t>to the CSD</w:t>
      </w:r>
      <w:r w:rsidR="0083111C">
        <w:rPr>
          <w:color w:val="FF0000"/>
          <w:lang w:val="en-US"/>
        </w:rPr>
        <w:t>.</w:t>
      </w:r>
      <w:r w:rsidR="004B7E76">
        <w:rPr>
          <w:color w:val="FF0000"/>
          <w:lang w:val="en-US"/>
        </w:rPr>
        <w:t xml:space="preserve"> </w:t>
      </w:r>
      <w:r w:rsidR="001947C1">
        <w:rPr>
          <w:color w:val="FF0000"/>
          <w:lang w:val="en-US"/>
        </w:rPr>
        <w:t>For</w:t>
      </w:r>
      <w:r w:rsidR="004B7E76">
        <w:rPr>
          <w:color w:val="FF0000"/>
          <w:lang w:val="en-US"/>
        </w:rPr>
        <w:t xml:space="preserve"> some CCPs a </w:t>
      </w:r>
      <w:r w:rsidR="001947C1">
        <w:rPr>
          <w:color w:val="FF0000"/>
          <w:lang w:val="en-US"/>
        </w:rPr>
        <w:t>power of attorney can be used</w:t>
      </w:r>
      <w:r w:rsidR="00C712B9">
        <w:rPr>
          <w:color w:val="FF0000"/>
          <w:lang w:val="en-US"/>
        </w:rPr>
        <w:t xml:space="preserve">, in which case the settlement instructions are sent directly </w:t>
      </w:r>
      <w:r w:rsidR="001947C1">
        <w:rPr>
          <w:color w:val="FF0000"/>
          <w:lang w:val="en-US"/>
        </w:rPr>
        <w:t>by the CCP</w:t>
      </w:r>
      <w:r w:rsidR="000D260C">
        <w:rPr>
          <w:color w:val="FF0000"/>
          <w:lang w:val="en-US"/>
        </w:rPr>
        <w:t>.</w:t>
      </w:r>
      <w:r w:rsidR="00846351">
        <w:rPr>
          <w:color w:val="FF0000"/>
          <w:lang w:val="en-US"/>
        </w:rPr>
        <w:t xml:space="preserve"> </w:t>
      </w:r>
      <w:r w:rsidRPr="00774640">
        <w:rPr>
          <w:lang w:val="en-US"/>
        </w:rPr>
        <w:t>The CCP also calculates its exposure on all open positions and requires clearing members to post the related margins. The end of day margin calls must be met by the clearing members on T+1 in the morning and also intraday margin calls can be performed throughout the day. Margins can be covered in securities or cash, usually through the ECB TARGET2 payment system if cash margins are paid in Euro</w:t>
      </w:r>
      <w:r w:rsidR="00394881">
        <w:rPr>
          <w:lang w:val="en-US"/>
        </w:rPr>
        <w:t xml:space="preserve"> </w:t>
      </w:r>
      <w:r w:rsidR="00394881">
        <w:rPr>
          <w:color w:val="FF0000"/>
          <w:lang w:val="en-US"/>
        </w:rPr>
        <w:t xml:space="preserve">or </w:t>
      </w:r>
      <w:r w:rsidR="00BA6C6A">
        <w:rPr>
          <w:color w:val="FF0000"/>
          <w:lang w:val="en-US"/>
        </w:rPr>
        <w:t xml:space="preserve">the </w:t>
      </w:r>
      <w:r w:rsidR="00394881">
        <w:rPr>
          <w:color w:val="FF0000"/>
          <w:lang w:val="en-US"/>
        </w:rPr>
        <w:t>RIX payment system if cash margins are paid in SEK</w:t>
      </w:r>
      <w:r w:rsidRPr="00774640">
        <w:rPr>
          <w:lang w:val="en-US"/>
        </w:rPr>
        <w:t>.</w:t>
      </w:r>
    </w:p>
    <w:p w14:paraId="74677106" w14:textId="11A60BB7" w:rsidR="00C511C2" w:rsidRDefault="00C511C2">
      <w:pPr>
        <w:rPr>
          <w:lang w:val="en-US"/>
        </w:rPr>
      </w:pPr>
      <w:r>
        <w:rPr>
          <w:lang w:val="en-US"/>
        </w:rPr>
        <w:lastRenderedPageBreak/>
        <w:t xml:space="preserve">20. </w:t>
      </w:r>
      <w:r w:rsidR="00361AE4" w:rsidRPr="00361AE4">
        <w:rPr>
          <w:lang w:val="en-US"/>
        </w:rPr>
        <w:t xml:space="preserve">All settlement instructions must be sent through the custody chain from the trading parties to the CSD (e.g., customer sends to global custodian which sends to local custodian, which sends to CSD – there can be more intermediaries and as many levels in a custody chain) as soon as possible. </w:t>
      </w:r>
    </w:p>
    <w:p w14:paraId="600F9299" w14:textId="77777777" w:rsidR="0054622D" w:rsidRDefault="00361AE4">
      <w:pPr>
        <w:rPr>
          <w:lang w:val="en-US"/>
        </w:rPr>
      </w:pPr>
      <w:r w:rsidRPr="00361AE4">
        <w:rPr>
          <w:lang w:val="en-US"/>
        </w:rPr>
        <w:t xml:space="preserve">21. Settlement instructions must then be matched at CSD level. If the pieces of information transmitted to the CSD correspond, they can be settled in the CSD’s securities settlement system (SSS). </w:t>
      </w:r>
    </w:p>
    <w:p w14:paraId="21227CF7" w14:textId="77777777" w:rsidR="0054622D" w:rsidRDefault="00361AE4">
      <w:pPr>
        <w:rPr>
          <w:lang w:val="en-US"/>
        </w:rPr>
      </w:pPr>
      <w:r w:rsidRPr="00361AE4">
        <w:rPr>
          <w:lang w:val="en-US"/>
        </w:rPr>
        <w:t xml:space="preserve">22. Finally, settlement statuses are sent back through the custody chain from the CSD to the customers. </w:t>
      </w:r>
    </w:p>
    <w:p w14:paraId="6031BD45" w14:textId="77777777" w:rsidR="0054622D" w:rsidRDefault="00361AE4">
      <w:pPr>
        <w:rPr>
          <w:lang w:val="en-US"/>
        </w:rPr>
      </w:pPr>
      <w:r w:rsidRPr="00361AE4">
        <w:rPr>
          <w:lang w:val="en-US"/>
        </w:rPr>
        <w:t xml:space="preserve">23. Note that this example describes the scenario of a single CSD involved in the settlement process. It is often the case however that several CSDs are involved in the settlement process, with one acting as issuer CSD and the others as investor CSDs. </w:t>
      </w:r>
    </w:p>
    <w:p w14:paraId="5B05F9D7" w14:textId="78CA5830" w:rsidR="00361AE4" w:rsidRPr="0068586C" w:rsidRDefault="00361AE4">
      <w:pPr>
        <w:rPr>
          <w:color w:val="FF0000"/>
          <w:lang w:val="en-US"/>
        </w:rPr>
      </w:pPr>
      <w:r w:rsidRPr="00361AE4">
        <w:rPr>
          <w:lang w:val="en-US"/>
        </w:rPr>
        <w:t xml:space="preserve">24. </w:t>
      </w:r>
      <w:r w:rsidRPr="00557E2B">
        <w:rPr>
          <w:strike/>
          <w:lang w:val="en-US"/>
        </w:rPr>
        <w:t xml:space="preserve">Considering that most European stock exchanges close between 17:30 CET and 20:30 CET, with a few of them enabling late trading until 22:00 CET, in a T+2 environment, roughly 22-26 hours are available for market participants to complete all the </w:t>
      </w:r>
      <w:proofErr w:type="spellStart"/>
      <w:r w:rsidRPr="00557E2B">
        <w:rPr>
          <w:strike/>
          <w:lang w:val="en-US"/>
        </w:rPr>
        <w:t>presettlement</w:t>
      </w:r>
      <w:proofErr w:type="spellEnd"/>
      <w:r w:rsidRPr="00557E2B">
        <w:rPr>
          <w:strike/>
          <w:lang w:val="en-US"/>
        </w:rPr>
        <w:t xml:space="preserve"> activities and send all settlement instructions e.g. to TARGET2-Securities9 (T2S) in time for the start of ‘night-time settlement’ (NTS) at 20:00 on the business day following T. In a T+1 environment, this time window would be drastically reduced.</w:t>
      </w:r>
      <w:r w:rsidR="0068586C">
        <w:rPr>
          <w:lang w:val="en-US"/>
        </w:rPr>
        <w:t xml:space="preserve"> </w:t>
      </w:r>
      <w:r w:rsidR="00BD091B" w:rsidRPr="00DA44D5">
        <w:rPr>
          <w:color w:val="FF0000"/>
          <w:lang w:val="en-US"/>
        </w:rPr>
        <w:t>Transactions are matched continuously throughout the day</w:t>
      </w:r>
      <w:r w:rsidR="00EF0A4B" w:rsidRPr="00DA44D5">
        <w:rPr>
          <w:color w:val="FF0000"/>
          <w:lang w:val="en-US"/>
        </w:rPr>
        <w:t>, from system opening at midnigh</w:t>
      </w:r>
      <w:r w:rsidR="004455C7" w:rsidRPr="00DA44D5">
        <w:rPr>
          <w:color w:val="FF0000"/>
          <w:lang w:val="en-US"/>
        </w:rPr>
        <w:t>t to 17.00 and from 17.05 to system closing at 21.00</w:t>
      </w:r>
      <w:r w:rsidR="00BD091B" w:rsidRPr="00DA44D5">
        <w:rPr>
          <w:color w:val="FF0000"/>
          <w:lang w:val="en-US"/>
        </w:rPr>
        <w:t>. Settlement</w:t>
      </w:r>
      <w:r w:rsidR="004455C7" w:rsidRPr="00DA44D5">
        <w:rPr>
          <w:color w:val="FF0000"/>
          <w:lang w:val="en-US"/>
        </w:rPr>
        <w:t xml:space="preserve"> </w:t>
      </w:r>
      <w:r w:rsidR="00853B2F">
        <w:rPr>
          <w:color w:val="FF0000"/>
          <w:lang w:val="en-US"/>
        </w:rPr>
        <w:t xml:space="preserve">in the AM sub-market </w:t>
      </w:r>
      <w:r w:rsidR="00B228E2">
        <w:rPr>
          <w:color w:val="FF0000"/>
          <w:lang w:val="en-US"/>
        </w:rPr>
        <w:t xml:space="preserve">(where equities are settled on the Swedish market) </w:t>
      </w:r>
      <w:r w:rsidR="004455C7" w:rsidRPr="00DA44D5">
        <w:rPr>
          <w:color w:val="FF0000"/>
          <w:lang w:val="en-US"/>
        </w:rPr>
        <w:t>takes place at designated tim</w:t>
      </w:r>
      <w:r w:rsidR="00274FCE" w:rsidRPr="00DA44D5">
        <w:rPr>
          <w:color w:val="FF0000"/>
          <w:lang w:val="en-US"/>
        </w:rPr>
        <w:t>es, at 10.00, 12.00, 15</w:t>
      </w:r>
      <w:r w:rsidR="007D0D0F" w:rsidRPr="00DA44D5">
        <w:rPr>
          <w:color w:val="FF0000"/>
          <w:lang w:val="en-US"/>
        </w:rPr>
        <w:t>.30 and 17.00 (Free of Payment)</w:t>
      </w:r>
      <w:r w:rsidR="00C822D6">
        <w:rPr>
          <w:color w:val="FF0000"/>
          <w:lang w:val="en-US"/>
        </w:rPr>
        <w:t xml:space="preserve"> on T+2</w:t>
      </w:r>
      <w:r w:rsidR="00B57541" w:rsidRPr="00DA44D5">
        <w:rPr>
          <w:color w:val="FF0000"/>
          <w:lang w:val="en-US"/>
        </w:rPr>
        <w:t xml:space="preserve">, as </w:t>
      </w:r>
      <w:r w:rsidR="00453C12">
        <w:rPr>
          <w:color w:val="FF0000"/>
          <w:lang w:val="en-US"/>
        </w:rPr>
        <w:t xml:space="preserve">in the </w:t>
      </w:r>
      <w:r w:rsidR="00B57541" w:rsidRPr="00DA44D5">
        <w:rPr>
          <w:color w:val="FF0000"/>
          <w:lang w:val="en-US"/>
        </w:rPr>
        <w:t>illustrat</w:t>
      </w:r>
      <w:r w:rsidR="00453C12">
        <w:rPr>
          <w:color w:val="FF0000"/>
          <w:lang w:val="en-US"/>
        </w:rPr>
        <w:t>ion</w:t>
      </w:r>
      <w:r w:rsidR="00233F3B" w:rsidRPr="00DA44D5">
        <w:rPr>
          <w:color w:val="FF0000"/>
          <w:lang w:val="en-US"/>
        </w:rPr>
        <w:t>.</w:t>
      </w:r>
      <w:r w:rsidR="00BD091B" w:rsidRPr="00DA44D5">
        <w:rPr>
          <w:color w:val="FF0000"/>
          <w:lang w:val="en-US"/>
        </w:rPr>
        <w:t xml:space="preserve"> </w:t>
      </w:r>
      <w:r w:rsidR="00DF532D">
        <w:rPr>
          <w:color w:val="FF0000"/>
          <w:lang w:val="en-US"/>
        </w:rPr>
        <w:t xml:space="preserve"> </w:t>
      </w:r>
    </w:p>
    <w:sectPr w:rsidR="00361AE4" w:rsidRPr="006858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474F" w14:textId="77777777" w:rsidR="002530F0" w:rsidRDefault="002530F0" w:rsidP="003D77D8">
      <w:pPr>
        <w:spacing w:after="0" w:line="240" w:lineRule="auto"/>
      </w:pPr>
      <w:r>
        <w:separator/>
      </w:r>
    </w:p>
  </w:endnote>
  <w:endnote w:type="continuationSeparator" w:id="0">
    <w:p w14:paraId="54D313CA" w14:textId="77777777" w:rsidR="002530F0" w:rsidRDefault="002530F0" w:rsidP="003D77D8">
      <w:pPr>
        <w:spacing w:after="0" w:line="240" w:lineRule="auto"/>
      </w:pPr>
      <w:r>
        <w:continuationSeparator/>
      </w:r>
    </w:p>
  </w:endnote>
  <w:endnote w:type="continuationNotice" w:id="1">
    <w:p w14:paraId="0030DB4F" w14:textId="77777777" w:rsidR="002530F0" w:rsidRDefault="00253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A20B5" w14:textId="77777777" w:rsidR="002530F0" w:rsidRDefault="002530F0" w:rsidP="003D77D8">
      <w:pPr>
        <w:spacing w:after="0" w:line="240" w:lineRule="auto"/>
      </w:pPr>
      <w:r>
        <w:separator/>
      </w:r>
    </w:p>
  </w:footnote>
  <w:footnote w:type="continuationSeparator" w:id="0">
    <w:p w14:paraId="28E9CA58" w14:textId="77777777" w:rsidR="002530F0" w:rsidRDefault="002530F0" w:rsidP="003D77D8">
      <w:pPr>
        <w:spacing w:after="0" w:line="240" w:lineRule="auto"/>
      </w:pPr>
      <w:r>
        <w:continuationSeparator/>
      </w:r>
    </w:p>
  </w:footnote>
  <w:footnote w:type="continuationNotice" w:id="1">
    <w:p w14:paraId="3E7B0EF6" w14:textId="77777777" w:rsidR="002530F0" w:rsidRDefault="002530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4857" w14:textId="6B823542" w:rsidR="003D77D8" w:rsidRDefault="003D77D8" w:rsidP="003D77D8">
    <w:pPr>
      <w:pStyle w:val="Sidhuvud"/>
      <w:jc w:val="center"/>
    </w:pPr>
    <w:r>
      <w:rPr>
        <w:noProof/>
      </w:rPr>
      <w:drawing>
        <wp:inline distT="0" distB="0" distL="0" distR="0" wp14:anchorId="62B8F6AA" wp14:editId="6CDBCD2B">
          <wp:extent cx="2257425" cy="47890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272" cy="519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6B"/>
    <w:rsid w:val="000151CF"/>
    <w:rsid w:val="0002299B"/>
    <w:rsid w:val="00030FB3"/>
    <w:rsid w:val="000413FE"/>
    <w:rsid w:val="000536FA"/>
    <w:rsid w:val="00061654"/>
    <w:rsid w:val="000627EA"/>
    <w:rsid w:val="00066C6F"/>
    <w:rsid w:val="00082943"/>
    <w:rsid w:val="00086E4D"/>
    <w:rsid w:val="000A148B"/>
    <w:rsid w:val="000D260C"/>
    <w:rsid w:val="001249E2"/>
    <w:rsid w:val="00145494"/>
    <w:rsid w:val="00172CB0"/>
    <w:rsid w:val="001947C1"/>
    <w:rsid w:val="001B340E"/>
    <w:rsid w:val="00233F3B"/>
    <w:rsid w:val="002476DF"/>
    <w:rsid w:val="0025290B"/>
    <w:rsid w:val="002530F0"/>
    <w:rsid w:val="00274FAB"/>
    <w:rsid w:val="00274FCE"/>
    <w:rsid w:val="002A585D"/>
    <w:rsid w:val="002B035C"/>
    <w:rsid w:val="002D1F37"/>
    <w:rsid w:val="003260C3"/>
    <w:rsid w:val="0035379C"/>
    <w:rsid w:val="00356ED5"/>
    <w:rsid w:val="00357553"/>
    <w:rsid w:val="00361AE4"/>
    <w:rsid w:val="0037453C"/>
    <w:rsid w:val="003772D6"/>
    <w:rsid w:val="00394881"/>
    <w:rsid w:val="003A16B3"/>
    <w:rsid w:val="003A194F"/>
    <w:rsid w:val="003A5913"/>
    <w:rsid w:val="003A6B6F"/>
    <w:rsid w:val="003D77D8"/>
    <w:rsid w:val="003E30E3"/>
    <w:rsid w:val="00412222"/>
    <w:rsid w:val="004240B9"/>
    <w:rsid w:val="00431123"/>
    <w:rsid w:val="004328BB"/>
    <w:rsid w:val="00437933"/>
    <w:rsid w:val="00442043"/>
    <w:rsid w:val="004455C7"/>
    <w:rsid w:val="00453C12"/>
    <w:rsid w:val="00472C8C"/>
    <w:rsid w:val="00474801"/>
    <w:rsid w:val="00486840"/>
    <w:rsid w:val="0049457F"/>
    <w:rsid w:val="004A1746"/>
    <w:rsid w:val="004B4430"/>
    <w:rsid w:val="004B7E76"/>
    <w:rsid w:val="004C28ED"/>
    <w:rsid w:val="004D11C6"/>
    <w:rsid w:val="00510E1D"/>
    <w:rsid w:val="005144D0"/>
    <w:rsid w:val="0054622D"/>
    <w:rsid w:val="005558C7"/>
    <w:rsid w:val="00557E2B"/>
    <w:rsid w:val="00577117"/>
    <w:rsid w:val="00587A12"/>
    <w:rsid w:val="00590723"/>
    <w:rsid w:val="00593E0A"/>
    <w:rsid w:val="00594A9A"/>
    <w:rsid w:val="005B6385"/>
    <w:rsid w:val="005C68D7"/>
    <w:rsid w:val="00604803"/>
    <w:rsid w:val="00647220"/>
    <w:rsid w:val="0068586C"/>
    <w:rsid w:val="006878FE"/>
    <w:rsid w:val="006A155E"/>
    <w:rsid w:val="006B3303"/>
    <w:rsid w:val="006B7ED1"/>
    <w:rsid w:val="006C1861"/>
    <w:rsid w:val="006C50A4"/>
    <w:rsid w:val="006D1355"/>
    <w:rsid w:val="006F1977"/>
    <w:rsid w:val="007062AF"/>
    <w:rsid w:val="00716953"/>
    <w:rsid w:val="00727ED9"/>
    <w:rsid w:val="00773ED9"/>
    <w:rsid w:val="00774640"/>
    <w:rsid w:val="0079236C"/>
    <w:rsid w:val="007A29BF"/>
    <w:rsid w:val="007B1849"/>
    <w:rsid w:val="007D0D0F"/>
    <w:rsid w:val="007F236C"/>
    <w:rsid w:val="0080687E"/>
    <w:rsid w:val="008109A8"/>
    <w:rsid w:val="00813C9F"/>
    <w:rsid w:val="00830749"/>
    <w:rsid w:val="0083111C"/>
    <w:rsid w:val="00832693"/>
    <w:rsid w:val="00846351"/>
    <w:rsid w:val="00847CE8"/>
    <w:rsid w:val="00852882"/>
    <w:rsid w:val="008537CD"/>
    <w:rsid w:val="00853B2F"/>
    <w:rsid w:val="008A389F"/>
    <w:rsid w:val="008A7DA7"/>
    <w:rsid w:val="008F63E7"/>
    <w:rsid w:val="008F6C11"/>
    <w:rsid w:val="00905EDB"/>
    <w:rsid w:val="00906939"/>
    <w:rsid w:val="00914C20"/>
    <w:rsid w:val="00931BF8"/>
    <w:rsid w:val="00962EFE"/>
    <w:rsid w:val="009636F1"/>
    <w:rsid w:val="00995FA8"/>
    <w:rsid w:val="009A0CC2"/>
    <w:rsid w:val="009A7770"/>
    <w:rsid w:val="009C7985"/>
    <w:rsid w:val="009D2675"/>
    <w:rsid w:val="009D7910"/>
    <w:rsid w:val="009E1CDC"/>
    <w:rsid w:val="00A05C62"/>
    <w:rsid w:val="00A637BE"/>
    <w:rsid w:val="00A67CAC"/>
    <w:rsid w:val="00A84A07"/>
    <w:rsid w:val="00AB11F9"/>
    <w:rsid w:val="00AC1764"/>
    <w:rsid w:val="00B20D1D"/>
    <w:rsid w:val="00B228E2"/>
    <w:rsid w:val="00B2745A"/>
    <w:rsid w:val="00B30138"/>
    <w:rsid w:val="00B413C4"/>
    <w:rsid w:val="00B566E9"/>
    <w:rsid w:val="00B56EB4"/>
    <w:rsid w:val="00B57541"/>
    <w:rsid w:val="00B602C5"/>
    <w:rsid w:val="00B77EA6"/>
    <w:rsid w:val="00B84C6C"/>
    <w:rsid w:val="00BA6C6A"/>
    <w:rsid w:val="00BB0896"/>
    <w:rsid w:val="00BC6410"/>
    <w:rsid w:val="00BD091B"/>
    <w:rsid w:val="00BE356B"/>
    <w:rsid w:val="00BE64B6"/>
    <w:rsid w:val="00BF034E"/>
    <w:rsid w:val="00C157B7"/>
    <w:rsid w:val="00C36F05"/>
    <w:rsid w:val="00C511C2"/>
    <w:rsid w:val="00C712B9"/>
    <w:rsid w:val="00C77F38"/>
    <w:rsid w:val="00C822D6"/>
    <w:rsid w:val="00C87FED"/>
    <w:rsid w:val="00CB166D"/>
    <w:rsid w:val="00CC1042"/>
    <w:rsid w:val="00CD1DAF"/>
    <w:rsid w:val="00CE73F5"/>
    <w:rsid w:val="00D25EB8"/>
    <w:rsid w:val="00D261FE"/>
    <w:rsid w:val="00D52785"/>
    <w:rsid w:val="00D91E7D"/>
    <w:rsid w:val="00DA44D5"/>
    <w:rsid w:val="00DB23DE"/>
    <w:rsid w:val="00DD687B"/>
    <w:rsid w:val="00DF532D"/>
    <w:rsid w:val="00DF605B"/>
    <w:rsid w:val="00E138E4"/>
    <w:rsid w:val="00E36318"/>
    <w:rsid w:val="00E53487"/>
    <w:rsid w:val="00E7182F"/>
    <w:rsid w:val="00E77C95"/>
    <w:rsid w:val="00EA67DC"/>
    <w:rsid w:val="00EB4B04"/>
    <w:rsid w:val="00EB5436"/>
    <w:rsid w:val="00EC2051"/>
    <w:rsid w:val="00ED2AB1"/>
    <w:rsid w:val="00EE7C59"/>
    <w:rsid w:val="00EF0A4B"/>
    <w:rsid w:val="00EF427D"/>
    <w:rsid w:val="00F14D5C"/>
    <w:rsid w:val="00F24AB4"/>
    <w:rsid w:val="00F279DF"/>
    <w:rsid w:val="00FD4A6C"/>
    <w:rsid w:val="00FF02A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7B7A5"/>
  <w15:chartTrackingRefBased/>
  <w15:docId w15:val="{24F282FE-3203-468A-BF07-0E79BFAE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evision">
    <w:name w:val="Revision"/>
    <w:hidden/>
    <w:uiPriority w:val="99"/>
    <w:semiHidden/>
    <w:rsid w:val="009A0CC2"/>
    <w:pPr>
      <w:spacing w:after="0" w:line="240" w:lineRule="auto"/>
    </w:pPr>
  </w:style>
  <w:style w:type="character" w:styleId="Kommentarsreferens">
    <w:name w:val="annotation reference"/>
    <w:basedOn w:val="Standardstycketeckensnitt"/>
    <w:uiPriority w:val="99"/>
    <w:semiHidden/>
    <w:unhideWhenUsed/>
    <w:rsid w:val="00EC2051"/>
    <w:rPr>
      <w:sz w:val="16"/>
      <w:szCs w:val="16"/>
    </w:rPr>
  </w:style>
  <w:style w:type="paragraph" w:styleId="Kommentarer">
    <w:name w:val="annotation text"/>
    <w:basedOn w:val="Normal"/>
    <w:link w:val="KommentarerChar"/>
    <w:uiPriority w:val="99"/>
    <w:unhideWhenUsed/>
    <w:rsid w:val="00EC2051"/>
    <w:pPr>
      <w:spacing w:line="240" w:lineRule="auto"/>
    </w:pPr>
    <w:rPr>
      <w:sz w:val="20"/>
      <w:szCs w:val="20"/>
    </w:rPr>
  </w:style>
  <w:style w:type="character" w:customStyle="1" w:styleId="KommentarerChar">
    <w:name w:val="Kommentarer Char"/>
    <w:basedOn w:val="Standardstycketeckensnitt"/>
    <w:link w:val="Kommentarer"/>
    <w:uiPriority w:val="99"/>
    <w:rsid w:val="00EC2051"/>
    <w:rPr>
      <w:sz w:val="20"/>
      <w:szCs w:val="20"/>
    </w:rPr>
  </w:style>
  <w:style w:type="paragraph" w:styleId="Kommentarsmne">
    <w:name w:val="annotation subject"/>
    <w:basedOn w:val="Kommentarer"/>
    <w:next w:val="Kommentarer"/>
    <w:link w:val="KommentarsmneChar"/>
    <w:uiPriority w:val="99"/>
    <w:semiHidden/>
    <w:unhideWhenUsed/>
    <w:rsid w:val="00EC2051"/>
    <w:rPr>
      <w:b/>
      <w:bCs/>
    </w:rPr>
  </w:style>
  <w:style w:type="character" w:customStyle="1" w:styleId="KommentarsmneChar">
    <w:name w:val="Kommentarsämne Char"/>
    <w:basedOn w:val="KommentarerChar"/>
    <w:link w:val="Kommentarsmne"/>
    <w:uiPriority w:val="99"/>
    <w:semiHidden/>
    <w:rsid w:val="00EC2051"/>
    <w:rPr>
      <w:b/>
      <w:bCs/>
      <w:sz w:val="20"/>
      <w:szCs w:val="20"/>
    </w:rPr>
  </w:style>
  <w:style w:type="character" w:styleId="Hyperlnk">
    <w:name w:val="Hyperlink"/>
    <w:basedOn w:val="Standardstycketeckensnitt"/>
    <w:uiPriority w:val="99"/>
    <w:unhideWhenUsed/>
    <w:rsid w:val="00145494"/>
    <w:rPr>
      <w:color w:val="0563C1" w:themeColor="hyperlink"/>
      <w:u w:val="single"/>
    </w:rPr>
  </w:style>
  <w:style w:type="character" w:styleId="Olstomnmnande">
    <w:name w:val="Unresolved Mention"/>
    <w:basedOn w:val="Standardstycketeckensnitt"/>
    <w:uiPriority w:val="99"/>
    <w:semiHidden/>
    <w:unhideWhenUsed/>
    <w:rsid w:val="00145494"/>
    <w:rPr>
      <w:color w:val="605E5C"/>
      <w:shd w:val="clear" w:color="auto" w:fill="E1DFDD"/>
    </w:rPr>
  </w:style>
  <w:style w:type="character" w:styleId="AnvndHyperlnk">
    <w:name w:val="FollowedHyperlink"/>
    <w:basedOn w:val="Standardstycketeckensnitt"/>
    <w:uiPriority w:val="99"/>
    <w:semiHidden/>
    <w:unhideWhenUsed/>
    <w:rsid w:val="009A7770"/>
    <w:rPr>
      <w:color w:val="954F72" w:themeColor="followedHyperlink"/>
      <w:u w:val="single"/>
    </w:rPr>
  </w:style>
  <w:style w:type="paragraph" w:styleId="Sidhuvud">
    <w:name w:val="header"/>
    <w:basedOn w:val="Normal"/>
    <w:link w:val="SidhuvudChar"/>
    <w:uiPriority w:val="99"/>
    <w:unhideWhenUsed/>
    <w:rsid w:val="003D77D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77D8"/>
  </w:style>
  <w:style w:type="paragraph" w:styleId="Sidfot">
    <w:name w:val="footer"/>
    <w:basedOn w:val="Normal"/>
    <w:link w:val="SidfotChar"/>
    <w:uiPriority w:val="99"/>
    <w:unhideWhenUsed/>
    <w:rsid w:val="003D77D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sma.europa.eu/sites/default/files/2024-11/ESMA74-2119945925-1969_Report_on_shortening_settlement_cycle.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lcf76f155ced4ddcb4097134ff3c332f xmlns="2337fc17-2acf-4d77-80c9-45ed8debd6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E458C-D602-4CFE-86A7-574EB02714CD}">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customXml/itemProps2.xml><?xml version="1.0" encoding="utf-8"?>
<ds:datastoreItem xmlns:ds="http://schemas.openxmlformats.org/officeDocument/2006/customXml" ds:itemID="{5ADC22B0-D4CC-4D35-8F91-BB17F98E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5D693-787C-4C40-AB44-9283DE666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859</Words>
  <Characters>4553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5402</CharactersWithSpaces>
  <SharedDoc>false</SharedDoc>
  <HLinks>
    <vt:vector size="6" baseType="variant">
      <vt:variant>
        <vt:i4>5832762</vt:i4>
      </vt:variant>
      <vt:variant>
        <vt:i4>0</vt:i4>
      </vt:variant>
      <vt:variant>
        <vt:i4>0</vt:i4>
      </vt:variant>
      <vt:variant>
        <vt:i4>5</vt:i4>
      </vt:variant>
      <vt:variant>
        <vt:lpwstr>https://www.esma.europa.eu/sites/default/files/2024-11/ESMA74-2119945925-1969_Report_on_shortening_settlement_cycle.pdf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Mannent</dc:creator>
  <cp:keywords/>
  <dc:description/>
  <cp:lastModifiedBy>Jenny Mannent</cp:lastModifiedBy>
  <cp:revision>6</cp:revision>
  <cp:lastPrinted>2025-01-30T20:44:00Z</cp:lastPrinted>
  <dcterms:created xsi:type="dcterms:W3CDTF">2025-04-10T11:45:00Z</dcterms:created>
  <dcterms:modified xsi:type="dcterms:W3CDTF">2025-04-10T11:52:00Z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MediaServiceImageTags">
    <vt:lpwstr/>
  </property>
</Properties>
</file>