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7CCD" w14:textId="77777777" w:rsidR="00692C47" w:rsidRDefault="00692C47" w:rsidP="000404C2">
      <w:pPr>
        <w:tabs>
          <w:tab w:val="left" w:pos="2268"/>
        </w:tabs>
        <w:jc w:val="right"/>
        <w:rPr>
          <w:rFonts w:ascii="Times New Roman" w:eastAsia="Calibri" w:hAnsi="Times New Roman" w:cs="Times New Roman"/>
          <w:i/>
          <w:iCs/>
        </w:rPr>
      </w:pPr>
    </w:p>
    <w:p w14:paraId="26C452DC" w14:textId="77777777" w:rsidR="00BA1C84" w:rsidRDefault="00BA1C84" w:rsidP="00BA1C84">
      <w:pPr>
        <w:jc w:val="center"/>
        <w:rPr>
          <w:rFonts w:ascii="Times New Roman" w:hAnsi="Times New Roman"/>
          <w:i/>
          <w:szCs w:val="24"/>
          <w:lang w:val="en-GB"/>
        </w:rPr>
      </w:pPr>
      <w:r>
        <w:rPr>
          <w:rFonts w:ascii="Arial" w:hAnsi="Arial"/>
          <w:i/>
          <w:snapToGrid w:val="0"/>
          <w:sz w:val="20"/>
          <w:lang w:val="en-GB"/>
        </w:rPr>
        <w:t>This document is a translation of the Swedish original. The Swedish version shall be the sole authentic version and, in the event of discrepancies, shall prevail.</w:t>
      </w:r>
    </w:p>
    <w:p w14:paraId="635CEAED" w14:textId="77777777" w:rsidR="00BA1C84" w:rsidRPr="00BA1C84" w:rsidRDefault="00BA1C84" w:rsidP="00250D8E">
      <w:pPr>
        <w:tabs>
          <w:tab w:val="left" w:pos="2268"/>
        </w:tabs>
        <w:rPr>
          <w:rFonts w:ascii="Times New Roman" w:eastAsia="Calibri" w:hAnsi="Times New Roman" w:cs="Times New Roman"/>
          <w:i/>
          <w:iCs/>
          <w:lang w:val="en-GB"/>
        </w:rPr>
      </w:pPr>
    </w:p>
    <w:p w14:paraId="03D4C2CB" w14:textId="51D7EAF0" w:rsidR="00952353" w:rsidRPr="00BA1C84" w:rsidRDefault="00952353" w:rsidP="00BA1C84">
      <w:pPr>
        <w:tabs>
          <w:tab w:val="left" w:pos="2268"/>
        </w:tabs>
        <w:jc w:val="center"/>
        <w:rPr>
          <w:rFonts w:ascii="Times New Roman" w:eastAsia="Calibri" w:hAnsi="Times New Roman" w:cs="Times New Roman"/>
          <w:b/>
          <w:bCs/>
          <w:i/>
          <w:iCs/>
          <w:lang w:val="en-GB"/>
        </w:rPr>
      </w:pPr>
      <w:r w:rsidRPr="00BA1C84">
        <w:rPr>
          <w:rFonts w:ascii="Times New Roman" w:eastAsia="Calibri" w:hAnsi="Times New Roman" w:cs="Times New Roman"/>
          <w:b/>
          <w:bCs/>
          <w:i/>
          <w:iCs/>
          <w:lang w:val="en"/>
        </w:rPr>
        <w:t xml:space="preserve">Appendix - Separate Pledge Terms and Conditions for BA’s/IF's </w:t>
      </w:r>
      <w:r w:rsidR="006B0218" w:rsidRPr="00BA1C84">
        <w:rPr>
          <w:rFonts w:ascii="Times New Roman" w:eastAsia="Calibri" w:hAnsi="Times New Roman" w:cs="Times New Roman"/>
          <w:b/>
          <w:bCs/>
          <w:i/>
          <w:iCs/>
          <w:lang w:val="en"/>
        </w:rPr>
        <w:t xml:space="preserve">Pledge </w:t>
      </w:r>
      <w:r w:rsidRPr="00BA1C84">
        <w:rPr>
          <w:rFonts w:ascii="Times New Roman" w:eastAsia="Calibri" w:hAnsi="Times New Roman" w:cs="Times New Roman"/>
          <w:b/>
          <w:bCs/>
          <w:i/>
          <w:iCs/>
          <w:lang w:val="en"/>
        </w:rPr>
        <w:t>to the Client</w:t>
      </w:r>
    </w:p>
    <w:p w14:paraId="64ED3B2A" w14:textId="77777777" w:rsidR="00781813" w:rsidRPr="006B0218" w:rsidRDefault="00781813" w:rsidP="000404C2">
      <w:pPr>
        <w:tabs>
          <w:tab w:val="left" w:pos="2268"/>
        </w:tabs>
        <w:jc w:val="right"/>
        <w:rPr>
          <w:rFonts w:ascii="Times New Roman" w:eastAsia="Calibri" w:hAnsi="Times New Roman" w:cs="Times New Roman"/>
          <w:b/>
          <w:bCs/>
          <w:sz w:val="28"/>
          <w:szCs w:val="28"/>
          <w:lang w:val="en-GB"/>
        </w:rPr>
      </w:pPr>
    </w:p>
    <w:p w14:paraId="44ADA2EC" w14:textId="77777777" w:rsidR="00B4278A" w:rsidRPr="002427BB" w:rsidRDefault="00B4278A" w:rsidP="000404C2">
      <w:pPr>
        <w:pStyle w:val="Liststycke"/>
        <w:numPr>
          <w:ilvl w:val="0"/>
          <w:numId w:val="3"/>
        </w:numPr>
        <w:rPr>
          <w:rFonts w:ascii="Times New Roman" w:eastAsia="Calibri" w:hAnsi="Times New Roman" w:cs="Times New Roman"/>
          <w:b/>
          <w:bCs/>
          <w:sz w:val="24"/>
          <w:szCs w:val="24"/>
        </w:rPr>
      </w:pPr>
      <w:r>
        <w:rPr>
          <w:rFonts w:ascii="Times New Roman" w:eastAsia="Calibri" w:hAnsi="Times New Roman" w:cs="Times New Roman"/>
          <w:b/>
          <w:bCs/>
          <w:sz w:val="24"/>
          <w:szCs w:val="24"/>
          <w:lang w:val="en"/>
        </w:rPr>
        <w:t>Definitions</w:t>
      </w:r>
    </w:p>
    <w:p w14:paraId="544FFE17" w14:textId="3A630CC6" w:rsidR="00B4278A" w:rsidRPr="006B0218" w:rsidRDefault="00B4278A" w:rsidP="000404C2">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
        </w:rPr>
        <w:t xml:space="preserve">In these Separate Pledge Terms and Conditions for BA/IF's Pledge to the Client, the following words and terms shall have the following meanings. In the event of discrepancies between these definitions and the definitions of the same words and terms in the Master Agreement, the definitions below shall take precedence. The provisions of the General Terms and Conditions for Securities Lending regarding the Master Agreement also apply to these Separate Pledge Terms and Conditions for BA/IF's Pledge to the Client. Words and expressions otherwise defined in the Master Agreement have the same meaning in these Separate Pledge Terms and Conditions for BA/IF's Pledge to the Client. </w:t>
      </w:r>
    </w:p>
    <w:p w14:paraId="1BD3A7B4" w14:textId="362EA667" w:rsidR="002427BB" w:rsidRPr="006B0218" w:rsidRDefault="00952353" w:rsidP="000404C2">
      <w:pPr>
        <w:spacing w:after="0"/>
        <w:rPr>
          <w:rFonts w:ascii="Times New Roman" w:eastAsia="Calibri" w:hAnsi="Times New Roman" w:cs="Times New Roman"/>
          <w:sz w:val="24"/>
          <w:szCs w:val="24"/>
          <w:lang w:val="en-GB"/>
        </w:rPr>
      </w:pPr>
      <w:r>
        <w:rPr>
          <w:rFonts w:ascii="Times New Roman" w:eastAsia="Calibri" w:hAnsi="Times New Roman" w:cs="Times New Roman"/>
          <w:sz w:val="24"/>
          <w:szCs w:val="24"/>
          <w:lang w:val="en"/>
        </w:rPr>
        <w:t>In the event of discrepancies between the terms and conditions stated in these Separate Pledge Terms and Conditions for BA/IF's Pledge to the Client and the Master Agreement, these Separate Pledge Terms and Conditions for BA/IF's Pledge to the Client shall take precedence.</w:t>
      </w:r>
    </w:p>
    <w:p w14:paraId="50567F25" w14:textId="77777777" w:rsidR="00DB6F43" w:rsidRPr="006B0218" w:rsidRDefault="00DB6F43" w:rsidP="000404C2">
      <w:pPr>
        <w:spacing w:after="0"/>
        <w:rPr>
          <w:rFonts w:ascii="Times New Roman" w:eastAsia="Calibri" w:hAnsi="Times New Roman" w:cs="Times New Roman"/>
          <w:sz w:val="24"/>
          <w:szCs w:val="24"/>
          <w:lang w:val="en-GB"/>
        </w:rPr>
      </w:pPr>
    </w:p>
    <w:tbl>
      <w:tblPr>
        <w:tblW w:w="9709" w:type="dxa"/>
        <w:tblLayout w:type="fixed"/>
        <w:tblCellMar>
          <w:left w:w="70" w:type="dxa"/>
          <w:right w:w="70" w:type="dxa"/>
        </w:tblCellMar>
        <w:tblLook w:val="0000" w:firstRow="0" w:lastRow="0" w:firstColumn="0" w:lastColumn="0" w:noHBand="0" w:noVBand="0"/>
      </w:tblPr>
      <w:tblGrid>
        <w:gridCol w:w="3082"/>
        <w:gridCol w:w="6627"/>
      </w:tblGrid>
      <w:tr w:rsidR="00B4278A" w:rsidRPr="00BA1C84" w14:paraId="2E6F0944" w14:textId="77777777" w:rsidTr="00B4278A">
        <w:tc>
          <w:tcPr>
            <w:tcW w:w="3082" w:type="dxa"/>
          </w:tcPr>
          <w:p w14:paraId="1F11577A" w14:textId="77777777" w:rsidR="00B4278A" w:rsidRPr="00B4278A" w:rsidRDefault="00B4278A" w:rsidP="000404C2">
            <w:pPr>
              <w:spacing w:after="0"/>
              <w:rPr>
                <w:rFonts w:ascii="Times New Roman" w:eastAsia="Calibri" w:hAnsi="Times New Roman" w:cs="Times New Roman"/>
                <w:sz w:val="24"/>
                <w:szCs w:val="24"/>
              </w:rPr>
            </w:pPr>
            <w:r>
              <w:rPr>
                <w:rFonts w:ascii="Times New Roman" w:eastAsia="Calibri" w:hAnsi="Times New Roman" w:cs="Times New Roman"/>
                <w:sz w:val="24"/>
                <w:szCs w:val="24"/>
                <w:lang w:val="en"/>
              </w:rPr>
              <w:t>"</w:t>
            </w:r>
            <w:r>
              <w:rPr>
                <w:rFonts w:ascii="Times New Roman" w:eastAsia="Calibri" w:hAnsi="Times New Roman" w:cs="Times New Roman"/>
                <w:b/>
                <w:bCs/>
                <w:sz w:val="24"/>
                <w:szCs w:val="24"/>
                <w:lang w:val="en"/>
              </w:rPr>
              <w:t>Borrowing Value</w:t>
            </w:r>
            <w:r>
              <w:rPr>
                <w:rFonts w:ascii="Times New Roman" w:eastAsia="Calibri" w:hAnsi="Times New Roman" w:cs="Times New Roman"/>
                <w:sz w:val="24"/>
                <w:szCs w:val="24"/>
                <w:lang w:val="en"/>
              </w:rPr>
              <w:t>"</w:t>
            </w:r>
          </w:p>
        </w:tc>
        <w:tc>
          <w:tcPr>
            <w:tcW w:w="6627" w:type="dxa"/>
          </w:tcPr>
          <w:p w14:paraId="7755B789" w14:textId="77777777" w:rsidR="00B4278A" w:rsidRPr="006B0218" w:rsidRDefault="00B4278A" w:rsidP="000404C2">
            <w:pPr>
              <w:spacing w:after="0"/>
              <w:rPr>
                <w:rFonts w:ascii="Times New Roman" w:eastAsia="Calibri" w:hAnsi="Times New Roman" w:cs="Times New Roman"/>
                <w:sz w:val="24"/>
                <w:szCs w:val="24"/>
                <w:lang w:val="en-GB"/>
              </w:rPr>
            </w:pPr>
            <w:r>
              <w:rPr>
                <w:rFonts w:ascii="Times New Roman" w:eastAsia="Calibri" w:hAnsi="Times New Roman" w:cs="Times New Roman"/>
                <w:sz w:val="24"/>
                <w:szCs w:val="24"/>
                <w:lang w:val="en"/>
              </w:rPr>
              <w:t>The value attributed to collateral in accordance with section 3, penultimate paragraph.</w:t>
            </w:r>
          </w:p>
        </w:tc>
      </w:tr>
      <w:tr w:rsidR="00B4278A" w:rsidRPr="00BA1C84" w14:paraId="632F1E72" w14:textId="77777777" w:rsidTr="00B4278A">
        <w:tc>
          <w:tcPr>
            <w:tcW w:w="3082" w:type="dxa"/>
          </w:tcPr>
          <w:p w14:paraId="71F16F43" w14:textId="77777777" w:rsidR="00B4278A" w:rsidRPr="006B0218" w:rsidRDefault="00B4278A" w:rsidP="000404C2">
            <w:pPr>
              <w:spacing w:after="0"/>
              <w:rPr>
                <w:rFonts w:ascii="Times New Roman" w:eastAsia="Calibri" w:hAnsi="Times New Roman" w:cs="Times New Roman"/>
                <w:b/>
                <w:sz w:val="24"/>
                <w:szCs w:val="24"/>
                <w:lang w:val="en-GB"/>
              </w:rPr>
            </w:pPr>
          </w:p>
        </w:tc>
        <w:tc>
          <w:tcPr>
            <w:tcW w:w="6627" w:type="dxa"/>
          </w:tcPr>
          <w:p w14:paraId="564654C6" w14:textId="77777777" w:rsidR="00B4278A" w:rsidRPr="006B0218" w:rsidRDefault="00B4278A" w:rsidP="000404C2">
            <w:pPr>
              <w:spacing w:after="0"/>
              <w:rPr>
                <w:rFonts w:ascii="Times New Roman" w:eastAsia="Calibri" w:hAnsi="Times New Roman" w:cs="Times New Roman"/>
                <w:sz w:val="24"/>
                <w:szCs w:val="24"/>
                <w:lang w:val="en-GB"/>
              </w:rPr>
            </w:pPr>
          </w:p>
        </w:tc>
      </w:tr>
      <w:tr w:rsidR="00B4278A" w:rsidRPr="00BA1C84" w14:paraId="5D5FCC69" w14:textId="77777777" w:rsidTr="00B4278A">
        <w:tc>
          <w:tcPr>
            <w:tcW w:w="3082" w:type="dxa"/>
          </w:tcPr>
          <w:p w14:paraId="21AFF88C" w14:textId="77777777" w:rsidR="00B4278A" w:rsidRPr="00B4278A" w:rsidRDefault="00B4278A" w:rsidP="000404C2">
            <w:pPr>
              <w:spacing w:after="0"/>
              <w:rPr>
                <w:rFonts w:ascii="Times New Roman" w:eastAsia="Calibri" w:hAnsi="Times New Roman" w:cs="Times New Roman"/>
                <w:b/>
                <w:sz w:val="24"/>
                <w:szCs w:val="24"/>
              </w:rPr>
            </w:pPr>
            <w:r>
              <w:rPr>
                <w:rFonts w:ascii="Times New Roman" w:eastAsia="Calibri" w:hAnsi="Times New Roman" w:cs="Times New Roman"/>
                <w:b/>
                <w:bCs/>
                <w:sz w:val="24"/>
                <w:szCs w:val="24"/>
                <w:lang w:val="en"/>
              </w:rPr>
              <w:t>"Approved Collateral"</w:t>
            </w:r>
          </w:p>
        </w:tc>
        <w:tc>
          <w:tcPr>
            <w:tcW w:w="6627" w:type="dxa"/>
          </w:tcPr>
          <w:p w14:paraId="76DED35F" w14:textId="7F46B792" w:rsidR="00B4278A" w:rsidRPr="006B0218" w:rsidRDefault="00B4278A" w:rsidP="000404C2">
            <w:pPr>
              <w:spacing w:after="0"/>
              <w:rPr>
                <w:rFonts w:ascii="Times New Roman" w:eastAsia="Calibri" w:hAnsi="Times New Roman" w:cs="Times New Roman"/>
                <w:sz w:val="24"/>
                <w:szCs w:val="24"/>
                <w:lang w:val="en-GB"/>
              </w:rPr>
            </w:pPr>
            <w:r>
              <w:rPr>
                <w:rFonts w:ascii="Times New Roman" w:eastAsia="Calibri" w:hAnsi="Times New Roman" w:cs="Times New Roman"/>
                <w:sz w:val="24"/>
                <w:szCs w:val="24"/>
                <w:lang w:val="en"/>
              </w:rPr>
              <w:t xml:space="preserve">The Financial Instruments listed in </w:t>
            </w:r>
            <w:r>
              <w:rPr>
                <w:rFonts w:ascii="Times New Roman" w:eastAsia="Calibri" w:hAnsi="Times New Roman" w:cs="Times New Roman"/>
                <w:sz w:val="24"/>
                <w:szCs w:val="24"/>
                <w:u w:val="single"/>
                <w:lang w:val="en"/>
              </w:rPr>
              <w:t>Appendix xx</w:t>
            </w:r>
            <w:r>
              <w:rPr>
                <w:rFonts w:ascii="Times New Roman" w:eastAsia="Calibri" w:hAnsi="Times New Roman" w:cs="Times New Roman"/>
                <w:sz w:val="24"/>
                <w:szCs w:val="24"/>
                <w:lang w:val="en"/>
              </w:rPr>
              <w:t>.</w:t>
            </w:r>
          </w:p>
        </w:tc>
      </w:tr>
      <w:tr w:rsidR="00952353" w:rsidRPr="00BA1C84" w14:paraId="72983D16" w14:textId="77777777" w:rsidTr="00D623B0">
        <w:tc>
          <w:tcPr>
            <w:tcW w:w="3082" w:type="dxa"/>
          </w:tcPr>
          <w:p w14:paraId="05C05E41" w14:textId="77777777" w:rsidR="00952353" w:rsidRPr="006B0218" w:rsidRDefault="00952353" w:rsidP="000404C2">
            <w:pPr>
              <w:spacing w:after="0" w:line="288" w:lineRule="auto"/>
              <w:rPr>
                <w:rFonts w:ascii="Times New Roman" w:eastAsia="Calibri" w:hAnsi="Times New Roman" w:cs="Times New Roman"/>
                <w:sz w:val="24"/>
                <w:szCs w:val="24"/>
                <w:lang w:val="en-GB"/>
              </w:rPr>
            </w:pPr>
          </w:p>
        </w:tc>
        <w:tc>
          <w:tcPr>
            <w:tcW w:w="6627" w:type="dxa"/>
          </w:tcPr>
          <w:p w14:paraId="3FEC9837" w14:textId="77777777" w:rsidR="00952353" w:rsidRPr="006B0218" w:rsidRDefault="00952353" w:rsidP="000404C2">
            <w:pPr>
              <w:spacing w:after="0" w:line="288" w:lineRule="auto"/>
              <w:rPr>
                <w:rFonts w:ascii="Times New Roman" w:eastAsia="Calibri" w:hAnsi="Times New Roman" w:cs="Times New Roman"/>
                <w:sz w:val="24"/>
                <w:szCs w:val="24"/>
                <w:lang w:val="en-GB"/>
              </w:rPr>
            </w:pPr>
          </w:p>
        </w:tc>
      </w:tr>
      <w:tr w:rsidR="002427BB" w:rsidRPr="00BA1C84" w14:paraId="50E00EC2" w14:textId="77777777" w:rsidTr="00D623B0">
        <w:tc>
          <w:tcPr>
            <w:tcW w:w="3082" w:type="dxa"/>
          </w:tcPr>
          <w:p w14:paraId="5513371D" w14:textId="77777777" w:rsidR="002427BB" w:rsidRPr="002427BB" w:rsidRDefault="002427BB" w:rsidP="000404C2">
            <w:pPr>
              <w:spacing w:after="0" w:line="288" w:lineRule="auto"/>
              <w:rPr>
                <w:rFonts w:ascii="Times New Roman" w:eastAsia="Calibri" w:hAnsi="Times New Roman" w:cs="Times New Roman"/>
                <w:sz w:val="24"/>
                <w:szCs w:val="24"/>
              </w:rPr>
            </w:pPr>
            <w:r>
              <w:rPr>
                <w:rFonts w:ascii="Times New Roman" w:eastAsia="Calibri" w:hAnsi="Times New Roman" w:cs="Times New Roman"/>
                <w:sz w:val="24"/>
                <w:szCs w:val="24"/>
                <w:lang w:val="en"/>
              </w:rPr>
              <w:t>“</w:t>
            </w:r>
            <w:r>
              <w:rPr>
                <w:rFonts w:ascii="Times New Roman" w:eastAsia="Calibri" w:hAnsi="Times New Roman" w:cs="Times New Roman"/>
                <w:b/>
                <w:bCs/>
                <w:sz w:val="24"/>
                <w:szCs w:val="24"/>
                <w:lang w:val="en"/>
              </w:rPr>
              <w:t>Pledged Property</w:t>
            </w:r>
            <w:r>
              <w:rPr>
                <w:rFonts w:ascii="Times New Roman" w:eastAsia="Calibri" w:hAnsi="Times New Roman" w:cs="Times New Roman"/>
                <w:sz w:val="24"/>
                <w:szCs w:val="24"/>
                <w:lang w:val="en"/>
              </w:rPr>
              <w:t>"</w:t>
            </w:r>
          </w:p>
        </w:tc>
        <w:tc>
          <w:tcPr>
            <w:tcW w:w="6627" w:type="dxa"/>
          </w:tcPr>
          <w:p w14:paraId="17D4918A" w14:textId="79791224" w:rsidR="002427BB" w:rsidRPr="006B0218" w:rsidRDefault="00A41018" w:rsidP="000404C2">
            <w:pPr>
              <w:spacing w:after="0" w:line="288"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
              </w:rPr>
              <w:t xml:space="preserve">The Financial Instruments registered on the VP account </w:t>
            </w:r>
            <w:r>
              <w:rPr>
                <w:rFonts w:ascii="Times New Roman" w:eastAsia="Calibri" w:hAnsi="Times New Roman" w:cs="Times New Roman"/>
                <w:b/>
                <w:bCs/>
                <w:sz w:val="24"/>
                <w:szCs w:val="24"/>
                <w:lang w:val="en"/>
              </w:rPr>
              <w:t>[</w:t>
            </w:r>
            <w:r>
              <w:rPr>
                <w:rFonts w:ascii="Times New Roman" w:eastAsia="Calibri" w:hAnsi="Times New Roman" w:cs="Times New Roman"/>
                <w:sz w:val="24"/>
                <w:szCs w:val="24"/>
                <w:lang w:val="en"/>
              </w:rPr>
              <w:t>specified in the</w:t>
            </w:r>
            <w:r>
              <w:rPr>
                <w:rFonts w:ascii="Times New Roman" w:eastAsia="Calibri" w:hAnsi="Times New Roman" w:cs="Times New Roman"/>
                <w:b/>
                <w:bCs/>
                <w:sz w:val="24"/>
                <w:szCs w:val="24"/>
                <w:lang w:val="en"/>
              </w:rPr>
              <w:t xml:space="preserve"> </w:t>
            </w:r>
            <w:r>
              <w:rPr>
                <w:rFonts w:ascii="Times New Roman" w:eastAsia="Calibri" w:hAnsi="Times New Roman" w:cs="Times New Roman"/>
                <w:sz w:val="24"/>
                <w:szCs w:val="24"/>
                <w:lang w:val="en"/>
              </w:rPr>
              <w:t>Master Agreement/pledged by the BA/IF</w:t>
            </w:r>
            <w:r>
              <w:rPr>
                <w:rFonts w:ascii="Times New Roman" w:eastAsia="Calibri" w:hAnsi="Times New Roman" w:cs="Times New Roman"/>
                <w:b/>
                <w:bCs/>
                <w:sz w:val="24"/>
                <w:szCs w:val="24"/>
                <w:lang w:val="en"/>
              </w:rPr>
              <w:t>]</w:t>
            </w:r>
            <w:r>
              <w:rPr>
                <w:rFonts w:ascii="Times New Roman" w:eastAsia="Calibri" w:hAnsi="Times New Roman" w:cs="Times New Roman"/>
                <w:sz w:val="24"/>
                <w:szCs w:val="24"/>
                <w:lang w:val="en"/>
              </w:rPr>
              <w:t>.</w:t>
            </w:r>
          </w:p>
        </w:tc>
      </w:tr>
      <w:tr w:rsidR="002427BB" w:rsidRPr="00BA1C84" w14:paraId="707E312A" w14:textId="77777777" w:rsidTr="00D623B0">
        <w:tc>
          <w:tcPr>
            <w:tcW w:w="3082" w:type="dxa"/>
          </w:tcPr>
          <w:p w14:paraId="11FAEE1E" w14:textId="77777777" w:rsidR="002427BB" w:rsidRPr="006B0218" w:rsidRDefault="002427BB" w:rsidP="000404C2">
            <w:pPr>
              <w:spacing w:after="0" w:line="288" w:lineRule="auto"/>
              <w:rPr>
                <w:rFonts w:ascii="Times New Roman" w:eastAsia="Calibri" w:hAnsi="Times New Roman" w:cs="Times New Roman"/>
                <w:sz w:val="24"/>
                <w:szCs w:val="24"/>
                <w:lang w:val="en-GB"/>
              </w:rPr>
            </w:pPr>
          </w:p>
        </w:tc>
        <w:tc>
          <w:tcPr>
            <w:tcW w:w="6627" w:type="dxa"/>
          </w:tcPr>
          <w:p w14:paraId="628DAEF7" w14:textId="77777777" w:rsidR="002427BB" w:rsidRPr="006B0218" w:rsidRDefault="002427BB" w:rsidP="000404C2">
            <w:pPr>
              <w:spacing w:after="0" w:line="288" w:lineRule="auto"/>
              <w:rPr>
                <w:rFonts w:ascii="Times New Roman" w:eastAsia="Calibri" w:hAnsi="Times New Roman" w:cs="Times New Roman"/>
                <w:sz w:val="24"/>
                <w:szCs w:val="24"/>
                <w:lang w:val="en-GB"/>
              </w:rPr>
            </w:pPr>
          </w:p>
        </w:tc>
      </w:tr>
      <w:tr w:rsidR="002427BB" w:rsidRPr="00BA1C84" w14:paraId="40E7E9EA" w14:textId="77777777" w:rsidTr="00D623B0">
        <w:tc>
          <w:tcPr>
            <w:tcW w:w="3082" w:type="dxa"/>
          </w:tcPr>
          <w:p w14:paraId="343106A1" w14:textId="77777777" w:rsidR="002427BB" w:rsidRPr="002427BB" w:rsidRDefault="002427BB" w:rsidP="000404C2">
            <w:pPr>
              <w:spacing w:after="0" w:line="288" w:lineRule="auto"/>
              <w:rPr>
                <w:rFonts w:ascii="Times New Roman" w:eastAsia="Calibri" w:hAnsi="Times New Roman" w:cs="Times New Roman"/>
                <w:sz w:val="24"/>
                <w:szCs w:val="24"/>
              </w:rPr>
            </w:pPr>
            <w:r>
              <w:rPr>
                <w:rFonts w:ascii="Times New Roman" w:eastAsia="Calibri" w:hAnsi="Times New Roman" w:cs="Times New Roman"/>
                <w:sz w:val="24"/>
                <w:szCs w:val="24"/>
                <w:lang w:val="en"/>
              </w:rPr>
              <w:t>“</w:t>
            </w:r>
            <w:r>
              <w:rPr>
                <w:rFonts w:ascii="Times New Roman" w:eastAsia="Calibri" w:hAnsi="Times New Roman" w:cs="Times New Roman"/>
                <w:b/>
                <w:bCs/>
                <w:sz w:val="24"/>
                <w:szCs w:val="24"/>
                <w:lang w:val="en"/>
              </w:rPr>
              <w:t>Collateral Requirement</w:t>
            </w:r>
            <w:r>
              <w:rPr>
                <w:rFonts w:ascii="Times New Roman" w:eastAsia="Calibri" w:hAnsi="Times New Roman" w:cs="Times New Roman"/>
                <w:sz w:val="24"/>
                <w:szCs w:val="24"/>
                <w:lang w:val="en"/>
              </w:rPr>
              <w:t>"</w:t>
            </w:r>
          </w:p>
          <w:p w14:paraId="57D81764" w14:textId="77777777" w:rsidR="002427BB" w:rsidRPr="002427BB" w:rsidRDefault="002427BB" w:rsidP="000404C2">
            <w:pPr>
              <w:spacing w:after="0"/>
              <w:rPr>
                <w:rFonts w:ascii="Times New Roman" w:eastAsia="Calibri" w:hAnsi="Times New Roman" w:cs="Times New Roman"/>
                <w:sz w:val="24"/>
                <w:szCs w:val="24"/>
              </w:rPr>
            </w:pPr>
          </w:p>
          <w:p w14:paraId="18064D6B" w14:textId="77777777" w:rsidR="002427BB" w:rsidRPr="002427BB" w:rsidRDefault="002427BB" w:rsidP="000404C2">
            <w:pPr>
              <w:spacing w:after="0"/>
              <w:rPr>
                <w:rFonts w:ascii="Times New Roman" w:eastAsia="Calibri" w:hAnsi="Times New Roman" w:cs="Times New Roman"/>
                <w:sz w:val="24"/>
                <w:szCs w:val="24"/>
              </w:rPr>
            </w:pPr>
          </w:p>
          <w:p w14:paraId="44D4BF8A" w14:textId="77777777" w:rsidR="002427BB" w:rsidRPr="002427BB" w:rsidRDefault="002427BB" w:rsidP="000404C2">
            <w:pPr>
              <w:spacing w:after="0"/>
              <w:rPr>
                <w:rFonts w:ascii="Times New Roman" w:eastAsia="Calibri" w:hAnsi="Times New Roman" w:cs="Times New Roman"/>
                <w:sz w:val="24"/>
                <w:szCs w:val="24"/>
              </w:rPr>
            </w:pPr>
          </w:p>
          <w:p w14:paraId="30C4D76B" w14:textId="77777777" w:rsidR="002427BB" w:rsidRPr="002427BB" w:rsidRDefault="002427BB" w:rsidP="000404C2">
            <w:pPr>
              <w:spacing w:after="0"/>
              <w:rPr>
                <w:rFonts w:ascii="Times New Roman" w:eastAsia="Calibri" w:hAnsi="Times New Roman" w:cs="Times New Roman"/>
                <w:sz w:val="24"/>
                <w:szCs w:val="24"/>
              </w:rPr>
            </w:pPr>
          </w:p>
        </w:tc>
        <w:tc>
          <w:tcPr>
            <w:tcW w:w="6627" w:type="dxa"/>
          </w:tcPr>
          <w:p w14:paraId="0A88E5E3" w14:textId="74451988" w:rsidR="002427BB" w:rsidRPr="006B0218" w:rsidRDefault="002427BB" w:rsidP="000404C2">
            <w:pPr>
              <w:spacing w:after="0" w:line="288"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
              </w:rPr>
              <w:t>The aggregate amount which the BA/IF is required to pledge as collateral, from time to time, in accordance with these Separate Pledge Terms and Conditions for BA/IF's Pledge to the Client, and which is equivalent to the Collateral Ratio for the BA/IF, multiplied by the difference between (a) the Market Value of Securities borrowed by the BA/IF and (b) the Market Value of Securities loaned to the Client (whereby the Collateral Requirement is positive if (a) is greater than (b).</w:t>
            </w:r>
          </w:p>
        </w:tc>
      </w:tr>
      <w:tr w:rsidR="002427BB" w:rsidRPr="00BA1C84" w14:paraId="3E3422F2" w14:textId="77777777" w:rsidTr="00D623B0">
        <w:tc>
          <w:tcPr>
            <w:tcW w:w="3082" w:type="dxa"/>
          </w:tcPr>
          <w:p w14:paraId="1C05958B" w14:textId="77777777" w:rsidR="002427BB" w:rsidRPr="006B0218" w:rsidRDefault="002427BB" w:rsidP="000404C2">
            <w:pPr>
              <w:spacing w:after="0" w:line="288" w:lineRule="auto"/>
              <w:rPr>
                <w:rFonts w:ascii="Times New Roman" w:eastAsia="Calibri" w:hAnsi="Times New Roman" w:cs="Times New Roman"/>
                <w:sz w:val="24"/>
                <w:szCs w:val="24"/>
                <w:lang w:val="en-GB"/>
              </w:rPr>
            </w:pPr>
          </w:p>
        </w:tc>
        <w:tc>
          <w:tcPr>
            <w:tcW w:w="6627" w:type="dxa"/>
          </w:tcPr>
          <w:p w14:paraId="1D46BFAD" w14:textId="77777777" w:rsidR="002427BB" w:rsidRPr="006B0218" w:rsidRDefault="002427BB" w:rsidP="000404C2">
            <w:pPr>
              <w:spacing w:after="0" w:line="288" w:lineRule="auto"/>
              <w:rPr>
                <w:rFonts w:ascii="Times New Roman" w:eastAsia="Calibri" w:hAnsi="Times New Roman" w:cs="Times New Roman"/>
                <w:sz w:val="24"/>
                <w:szCs w:val="24"/>
                <w:lang w:val="en-GB"/>
              </w:rPr>
            </w:pPr>
          </w:p>
        </w:tc>
      </w:tr>
      <w:tr w:rsidR="002427BB" w:rsidRPr="002427BB" w14:paraId="1C93CC96" w14:textId="77777777" w:rsidTr="00D623B0">
        <w:tc>
          <w:tcPr>
            <w:tcW w:w="3082" w:type="dxa"/>
          </w:tcPr>
          <w:p w14:paraId="40FF59DD" w14:textId="77777777" w:rsidR="002427BB" w:rsidRPr="002427BB" w:rsidRDefault="002427BB" w:rsidP="00075390">
            <w:pPr>
              <w:spacing w:line="288" w:lineRule="auto"/>
              <w:rPr>
                <w:rFonts w:ascii="Times New Roman" w:eastAsia="Calibri" w:hAnsi="Times New Roman" w:cs="Times New Roman"/>
                <w:sz w:val="24"/>
                <w:szCs w:val="24"/>
              </w:rPr>
            </w:pPr>
            <w:r>
              <w:rPr>
                <w:rFonts w:ascii="Times New Roman" w:eastAsia="Calibri" w:hAnsi="Times New Roman" w:cs="Times New Roman"/>
                <w:sz w:val="24"/>
                <w:szCs w:val="24"/>
                <w:lang w:val="en"/>
              </w:rPr>
              <w:t>“</w:t>
            </w:r>
            <w:r>
              <w:rPr>
                <w:rFonts w:ascii="Times New Roman" w:eastAsia="Calibri" w:hAnsi="Times New Roman" w:cs="Times New Roman"/>
                <w:b/>
                <w:bCs/>
                <w:sz w:val="24"/>
                <w:szCs w:val="24"/>
                <w:lang w:val="en"/>
              </w:rPr>
              <w:t>Collateral Ratio</w:t>
            </w:r>
            <w:r>
              <w:rPr>
                <w:rFonts w:ascii="Times New Roman" w:eastAsia="Calibri" w:hAnsi="Times New Roman" w:cs="Times New Roman"/>
                <w:sz w:val="24"/>
                <w:szCs w:val="24"/>
                <w:lang w:val="en"/>
              </w:rPr>
              <w:t>"</w:t>
            </w:r>
          </w:p>
        </w:tc>
        <w:tc>
          <w:tcPr>
            <w:tcW w:w="6627" w:type="dxa"/>
          </w:tcPr>
          <w:p w14:paraId="358146A0" w14:textId="3FE11943" w:rsidR="00D623B0" w:rsidRDefault="002427BB" w:rsidP="00075390">
            <w:pPr>
              <w:spacing w:line="288" w:lineRule="auto"/>
              <w:rPr>
                <w:rFonts w:ascii="Times New Roman" w:eastAsia="Calibri" w:hAnsi="Times New Roman" w:cs="Times New Roman"/>
                <w:sz w:val="24"/>
                <w:szCs w:val="24"/>
              </w:rPr>
            </w:pPr>
            <w:r>
              <w:rPr>
                <w:rFonts w:ascii="Times New Roman" w:eastAsia="Calibri" w:hAnsi="Times New Roman" w:cs="Times New Roman"/>
                <w:sz w:val="24"/>
                <w:szCs w:val="24"/>
                <w:lang w:val="en"/>
              </w:rPr>
              <w:t>105%.</w:t>
            </w:r>
          </w:p>
          <w:p w14:paraId="3B7F4556" w14:textId="77777777" w:rsidR="00363F45" w:rsidRPr="002427BB" w:rsidRDefault="00363F45" w:rsidP="00075390">
            <w:pPr>
              <w:spacing w:line="288" w:lineRule="auto"/>
              <w:rPr>
                <w:rFonts w:ascii="Times New Roman" w:eastAsia="Calibri" w:hAnsi="Times New Roman" w:cs="Times New Roman"/>
                <w:strike/>
                <w:sz w:val="24"/>
                <w:szCs w:val="24"/>
              </w:rPr>
            </w:pPr>
          </w:p>
        </w:tc>
      </w:tr>
    </w:tbl>
    <w:p w14:paraId="6D1C4FE3" w14:textId="33845351" w:rsidR="00D623B0" w:rsidRPr="006B0218" w:rsidRDefault="00D623B0" w:rsidP="00075390">
      <w:pPr>
        <w:pStyle w:val="Rubrik3"/>
        <w:numPr>
          <w:ilvl w:val="0"/>
          <w:numId w:val="3"/>
        </w:numPr>
        <w:spacing w:before="0" w:after="160" w:line="259" w:lineRule="auto"/>
        <w:jc w:val="left"/>
        <w:rPr>
          <w:rFonts w:ascii="Times New Roman" w:hAnsi="Times New Roman"/>
          <w:szCs w:val="24"/>
          <w:u w:val="none"/>
          <w:lang w:val="en-GB"/>
        </w:rPr>
      </w:pPr>
      <w:bookmarkStart w:id="0" w:name="_Hlk52378132"/>
      <w:bookmarkStart w:id="1" w:name="_Hlk52376492"/>
      <w:r>
        <w:rPr>
          <w:rFonts w:ascii="Times New Roman" w:hAnsi="Times New Roman"/>
          <w:bCs/>
          <w:szCs w:val="24"/>
          <w:u w:val="none"/>
          <w:lang w:val="en"/>
        </w:rPr>
        <w:lastRenderedPageBreak/>
        <w:t>Provision of collateral etc. by the BA/IF.</w:t>
      </w:r>
    </w:p>
    <w:bookmarkEnd w:id="0"/>
    <w:p w14:paraId="7231968C" w14:textId="182222BD" w:rsidR="00781813" w:rsidRPr="006B0218" w:rsidRDefault="00247477" w:rsidP="000404C2">
      <w:pPr>
        <w:rPr>
          <w:rFonts w:ascii="Times New Roman" w:hAnsi="Times New Roman" w:cs="Times New Roman"/>
          <w:sz w:val="24"/>
          <w:szCs w:val="24"/>
          <w:lang w:val="en-GB"/>
        </w:rPr>
      </w:pPr>
      <w:r>
        <w:rPr>
          <w:rFonts w:ascii="Times New Roman" w:hAnsi="Times New Roman" w:cs="Times New Roman"/>
          <w:sz w:val="24"/>
          <w:szCs w:val="24"/>
          <w:lang w:val="en"/>
        </w:rPr>
        <w:t>For its obligations under the Master Agreement as a consequence of the Securities Loans taken out, the BA/IF shall provide collateral  in accordance with the provisions of these Separate Pledge Terms and Conditions for BA/IF's Pledge to the Client.</w:t>
      </w:r>
    </w:p>
    <w:p w14:paraId="73696607" w14:textId="36BA3A84" w:rsidR="00781813" w:rsidRPr="006B0218" w:rsidRDefault="00781813" w:rsidP="000404C2">
      <w:pPr>
        <w:rPr>
          <w:rFonts w:ascii="Times New Roman" w:hAnsi="Times New Roman" w:cs="Times New Roman"/>
          <w:sz w:val="24"/>
          <w:szCs w:val="24"/>
          <w:lang w:val="en-GB"/>
        </w:rPr>
      </w:pPr>
      <w:r>
        <w:rPr>
          <w:rFonts w:ascii="Times New Roman" w:hAnsi="Times New Roman" w:cs="Times New Roman"/>
          <w:sz w:val="24"/>
          <w:szCs w:val="24"/>
          <w:lang w:val="en"/>
        </w:rPr>
        <w:t>If the BA/IF Collateral Requirement is positive, collateral must be provided no later than the agreed time of delivery of the Securities Loan in question. The Borrowing Value of the collateral must, at a minimum, correspond to the Collateral Requirement applicable to the BA/IF (if it is positive).</w:t>
      </w:r>
    </w:p>
    <w:p w14:paraId="2D7C0D69" w14:textId="77777777" w:rsidR="00781813" w:rsidRPr="006B0218" w:rsidRDefault="00781813" w:rsidP="000404C2">
      <w:pPr>
        <w:rPr>
          <w:rFonts w:ascii="Times New Roman" w:hAnsi="Times New Roman" w:cs="Times New Roman"/>
          <w:sz w:val="24"/>
          <w:szCs w:val="24"/>
          <w:lang w:val="en-GB"/>
        </w:rPr>
      </w:pPr>
      <w:r>
        <w:rPr>
          <w:rFonts w:ascii="Times New Roman" w:hAnsi="Times New Roman" w:cs="Times New Roman"/>
          <w:sz w:val="24"/>
          <w:szCs w:val="24"/>
          <w:lang w:val="en"/>
        </w:rPr>
        <w:t>Only Approved Collateral may be used as collateral.</w:t>
      </w:r>
    </w:p>
    <w:p w14:paraId="0B1B3A28" w14:textId="0C584C8B" w:rsidR="00781813" w:rsidRPr="006B0218" w:rsidRDefault="00781813" w:rsidP="000404C2">
      <w:pPr>
        <w:rPr>
          <w:rFonts w:ascii="Times New Roman" w:hAnsi="Times New Roman" w:cs="Times New Roman"/>
          <w:sz w:val="24"/>
          <w:szCs w:val="24"/>
          <w:lang w:val="en-GB"/>
        </w:rPr>
      </w:pPr>
      <w:r>
        <w:rPr>
          <w:rFonts w:ascii="Times New Roman" w:hAnsi="Times New Roman" w:cs="Times New Roman"/>
          <w:sz w:val="24"/>
          <w:szCs w:val="24"/>
          <w:lang w:val="en"/>
        </w:rPr>
        <w:t xml:space="preserve">The Borrowing Value for each asset must be the collateral value stated in </w:t>
      </w:r>
      <w:r>
        <w:rPr>
          <w:rFonts w:ascii="Times New Roman" w:hAnsi="Times New Roman" w:cs="Times New Roman"/>
          <w:sz w:val="24"/>
          <w:szCs w:val="24"/>
          <w:u w:val="single"/>
          <w:lang w:val="en"/>
        </w:rPr>
        <w:t>Appendix xx</w:t>
      </w:r>
      <w:r>
        <w:rPr>
          <w:rFonts w:ascii="Times New Roman" w:hAnsi="Times New Roman" w:cs="Times New Roman"/>
          <w:sz w:val="24"/>
          <w:szCs w:val="24"/>
          <w:lang w:val="en"/>
        </w:rPr>
        <w:t xml:space="preserve"> or as separately agreed by the parties. </w:t>
      </w:r>
    </w:p>
    <w:p w14:paraId="51229F21" w14:textId="0F140362" w:rsidR="00D623B0" w:rsidRPr="006B0218" w:rsidRDefault="00781813" w:rsidP="000404C2">
      <w:pPr>
        <w:rPr>
          <w:lang w:val="en-GB"/>
        </w:rPr>
      </w:pPr>
      <w:r>
        <w:rPr>
          <w:rFonts w:ascii="Times New Roman" w:hAnsi="Times New Roman"/>
          <w:sz w:val="24"/>
          <w:szCs w:val="24"/>
          <w:lang w:val="en"/>
        </w:rPr>
        <w:t>Dividends, interest, any income, and other rights arising from the Pledged Property do not constitute part of the Pledged Property.</w:t>
      </w:r>
      <w:r>
        <w:rPr>
          <w:lang w:val="en"/>
        </w:rPr>
        <w:tab/>
      </w:r>
    </w:p>
    <w:p w14:paraId="7996851C" w14:textId="05F8A6D3" w:rsidR="00363F45" w:rsidRPr="006B0218" w:rsidRDefault="00247477" w:rsidP="000404C2">
      <w:pPr>
        <w:pStyle w:val="Liststycke"/>
        <w:numPr>
          <w:ilvl w:val="0"/>
          <w:numId w:val="3"/>
        </w:numPr>
        <w:rPr>
          <w:rFonts w:ascii="Times New Roman" w:hAnsi="Times New Roman" w:cs="Times New Roman"/>
          <w:b/>
          <w:sz w:val="24"/>
          <w:szCs w:val="24"/>
          <w:lang w:val="en-GB"/>
        </w:rPr>
      </w:pPr>
      <w:r>
        <w:rPr>
          <w:rFonts w:ascii="Times New Roman" w:hAnsi="Times New Roman" w:cs="Times New Roman"/>
          <w:b/>
          <w:bCs/>
          <w:sz w:val="24"/>
          <w:szCs w:val="24"/>
          <w:lang w:val="en"/>
        </w:rPr>
        <w:t>The BA/IF's engagement as account operator</w:t>
      </w:r>
    </w:p>
    <w:p w14:paraId="1E7D7990" w14:textId="45CFE483" w:rsidR="00363F45" w:rsidRPr="006B0218" w:rsidRDefault="00247477" w:rsidP="000404C2">
      <w:pPr>
        <w:rPr>
          <w:rFonts w:ascii="Times New Roman" w:hAnsi="Times New Roman" w:cs="Times New Roman"/>
          <w:sz w:val="24"/>
          <w:szCs w:val="24"/>
          <w:lang w:val="en-GB"/>
        </w:rPr>
      </w:pPr>
      <w:r>
        <w:rPr>
          <w:rFonts w:ascii="Times New Roman" w:hAnsi="Times New Roman" w:cs="Times New Roman"/>
          <w:sz w:val="24"/>
          <w:szCs w:val="24"/>
          <w:lang w:val="en"/>
        </w:rPr>
        <w:t>The BA/IF, in its capacity as Account Operator, has opened the VP account on which the Pledged Property will be registered. The account is common to all of the BA/IF's clients who, from time to time, have granted securities loans to the BA/IF and who have a security interest in the Financial Instruments registered on the account pursuant to an agreement with the BA/IF.</w:t>
      </w:r>
    </w:p>
    <w:p w14:paraId="4EAD3C7D" w14:textId="5D118C2A" w:rsidR="008E75EF" w:rsidRPr="000404C2" w:rsidRDefault="00A33B96" w:rsidP="000404C2">
      <w:pPr>
        <w:pStyle w:val="Liststycke"/>
        <w:numPr>
          <w:ilvl w:val="0"/>
          <w:numId w:val="3"/>
        </w:numPr>
        <w:rPr>
          <w:rFonts w:ascii="Times New Roman" w:hAnsi="Times New Roman" w:cs="Times New Roman"/>
          <w:b/>
          <w:sz w:val="24"/>
          <w:szCs w:val="24"/>
        </w:rPr>
      </w:pPr>
      <w:r>
        <w:rPr>
          <w:rFonts w:ascii="Times New Roman" w:hAnsi="Times New Roman" w:cs="Times New Roman"/>
          <w:b/>
          <w:bCs/>
          <w:sz w:val="24"/>
          <w:szCs w:val="24"/>
          <w:lang w:val="en"/>
        </w:rPr>
        <w:t xml:space="preserve">Status of the security interest </w:t>
      </w:r>
    </w:p>
    <w:p w14:paraId="66F66392" w14:textId="7486BFD0" w:rsidR="008E75EF" w:rsidRPr="006B0218" w:rsidRDefault="00492D04" w:rsidP="000404C2">
      <w:pPr>
        <w:rPr>
          <w:rFonts w:ascii="Times New Roman" w:hAnsi="Times New Roman" w:cs="Times New Roman"/>
          <w:sz w:val="24"/>
          <w:szCs w:val="24"/>
          <w:lang w:val="en-GB"/>
        </w:rPr>
      </w:pPr>
      <w:r>
        <w:rPr>
          <w:rFonts w:ascii="Times New Roman" w:hAnsi="Times New Roman" w:cs="Times New Roman"/>
          <w:sz w:val="24"/>
          <w:szCs w:val="24"/>
          <w:lang w:val="en"/>
        </w:rPr>
        <w:t>The Pledged Property is also pledged with equal rights (</w:t>
      </w:r>
      <w:r>
        <w:rPr>
          <w:rFonts w:ascii="Times New Roman" w:hAnsi="Times New Roman" w:cs="Times New Roman"/>
          <w:i/>
          <w:iCs/>
          <w:sz w:val="24"/>
          <w:szCs w:val="24"/>
          <w:lang w:val="en"/>
        </w:rPr>
        <w:t>pari passu</w:t>
      </w:r>
      <w:r>
        <w:rPr>
          <w:rFonts w:ascii="Times New Roman" w:hAnsi="Times New Roman" w:cs="Times New Roman"/>
          <w:sz w:val="24"/>
          <w:szCs w:val="24"/>
          <w:lang w:val="en"/>
        </w:rPr>
        <w:t>) to other lenders from whom the BA/IF has borrowed securities and who have obtained a security interest in the Pledged Property under an agreement with the BA/IF. The Client and these other lenders are each entitled individually to enforce their security interests. If, at any relevant time, the pledged property is not sufficient to cover all claims of current lenders against the BA/IF in respect of securities loans granted, the pledged property shall be allocated amongst the lenders in proportion to each lender's claim against the BA/IF.</w:t>
      </w:r>
    </w:p>
    <w:p w14:paraId="62F4D822" w14:textId="62917BAF" w:rsidR="00D4733B" w:rsidRPr="006B0218" w:rsidRDefault="00D4733B" w:rsidP="000404C2">
      <w:pPr>
        <w:pStyle w:val="Liststycke"/>
        <w:keepNext/>
        <w:numPr>
          <w:ilvl w:val="0"/>
          <w:numId w:val="3"/>
        </w:numPr>
        <w:tabs>
          <w:tab w:val="left" w:pos="0"/>
          <w:tab w:val="left" w:pos="340"/>
          <w:tab w:val="left" w:pos="680"/>
          <w:tab w:val="left" w:pos="1021"/>
          <w:tab w:val="left" w:pos="1361"/>
          <w:tab w:val="left" w:pos="1701"/>
        </w:tabs>
        <w:outlineLvl w:val="2"/>
        <w:rPr>
          <w:rFonts w:ascii="Times New Roman" w:eastAsia="Times New Roman" w:hAnsi="Times New Roman" w:cs="Times New Roman"/>
          <w:b/>
          <w:sz w:val="24"/>
          <w:szCs w:val="24"/>
          <w:lang w:val="en-GB"/>
        </w:rPr>
      </w:pPr>
      <w:r>
        <w:rPr>
          <w:rFonts w:ascii="Times New Roman" w:eastAsia="Times New Roman" w:hAnsi="Times New Roman" w:cs="Times New Roman"/>
          <w:b/>
          <w:bCs/>
          <w:sz w:val="24"/>
          <w:szCs w:val="24"/>
          <w:lang w:val="en"/>
        </w:rPr>
        <w:t xml:space="preserve">Replacement of collateral, additional collateral, etc. </w:t>
      </w:r>
    </w:p>
    <w:p w14:paraId="66148862" w14:textId="476A8F8F" w:rsidR="00D4733B" w:rsidRPr="006B0218" w:rsidRDefault="00247477" w:rsidP="000404C2">
      <w:pPr>
        <w:keepNext/>
        <w:keepLines/>
        <w:outlineLvl w:val="1"/>
        <w:rPr>
          <w:rFonts w:ascii="Times New Roman" w:eastAsia="PMingLiU" w:hAnsi="Times New Roman" w:cs="Times New Roman"/>
          <w:color w:val="000000"/>
          <w:sz w:val="24"/>
          <w:szCs w:val="24"/>
          <w:lang w:val="en-GB"/>
        </w:rPr>
      </w:pPr>
      <w:r>
        <w:rPr>
          <w:rFonts w:ascii="Times New Roman" w:hAnsi="Times New Roman" w:cs="Times New Roman"/>
          <w:sz w:val="24"/>
          <w:szCs w:val="24"/>
          <w:lang w:val="en"/>
        </w:rPr>
        <w:t xml:space="preserve">The BA/IF </w:t>
      </w:r>
      <w:r>
        <w:rPr>
          <w:rFonts w:ascii="Times New Roman" w:hAnsi="Times New Roman" w:cs="Times New Roman"/>
          <w:color w:val="000000"/>
          <w:sz w:val="24"/>
          <w:szCs w:val="24"/>
          <w:lang w:val="en"/>
        </w:rPr>
        <w:t xml:space="preserve">shall be entitled to replace, at any time, any Approved Collateral constituting </w:t>
      </w:r>
      <w:r>
        <w:rPr>
          <w:rFonts w:ascii="Times New Roman" w:hAnsi="Times New Roman" w:cs="Times New Roman"/>
          <w:sz w:val="24"/>
          <w:szCs w:val="24"/>
          <w:lang w:val="en"/>
        </w:rPr>
        <w:t xml:space="preserve">the BA/IF’s </w:t>
      </w:r>
      <w:r>
        <w:rPr>
          <w:rFonts w:ascii="Times New Roman" w:hAnsi="Times New Roman" w:cs="Times New Roman"/>
          <w:color w:val="000000"/>
          <w:sz w:val="24"/>
          <w:szCs w:val="24"/>
          <w:lang w:val="en"/>
        </w:rPr>
        <w:t>Pledged Property for other Approved Collateral.</w:t>
      </w:r>
    </w:p>
    <w:p w14:paraId="3CC1175B" w14:textId="544A4EAF" w:rsidR="00D4733B" w:rsidRPr="006B0218" w:rsidRDefault="00D4733B" w:rsidP="000404C2">
      <w:pPr>
        <w:rPr>
          <w:rFonts w:ascii="Times New Roman" w:eastAsia="Calibri" w:hAnsi="Times New Roman" w:cs="Times New Roman"/>
          <w:sz w:val="24"/>
          <w:szCs w:val="24"/>
          <w:lang w:val="en-GB"/>
        </w:rPr>
      </w:pPr>
      <w:r>
        <w:rPr>
          <w:rFonts w:ascii="Times New Roman" w:hAnsi="Times New Roman" w:cs="Times New Roman"/>
          <w:sz w:val="24"/>
          <w:szCs w:val="24"/>
          <w:lang w:val="en"/>
        </w:rPr>
        <w:t xml:space="preserve">The aggregate Borrowing Value of Pledged Property provided by the BA/IF as collateral in accordance with the Master Agreement - including these Separate Pledge Terms and Conditions for BA/IF's Pledge to the Client - and other substantially similar master agreements with other parties shall, from time to time, correspond to the aggregate Collateral Requirement for all Securities Loans under the Master Agreement, also including these Separate Pledge Terms and Conditions for BA/IF's Pledge to the Client, and other master agreements. Negative Collateral Requirements are disregarded when calculating the current total Collateral Requirement. </w:t>
      </w:r>
    </w:p>
    <w:p w14:paraId="56A9CC48" w14:textId="441CC0CF" w:rsidR="00D4733B" w:rsidRPr="006B0218" w:rsidRDefault="00D4733B" w:rsidP="000404C2">
      <w:pPr>
        <w:rPr>
          <w:rFonts w:ascii="Times New Roman" w:eastAsia="Calibri" w:hAnsi="Times New Roman" w:cs="Times New Roman"/>
          <w:sz w:val="24"/>
          <w:szCs w:val="24"/>
          <w:lang w:val="en-GB"/>
        </w:rPr>
      </w:pPr>
      <w:r>
        <w:rPr>
          <w:rFonts w:ascii="Times New Roman" w:hAnsi="Times New Roman" w:cs="Times New Roman"/>
          <w:sz w:val="24"/>
          <w:szCs w:val="24"/>
          <w:lang w:val="en"/>
        </w:rPr>
        <w:lastRenderedPageBreak/>
        <w:t xml:space="preserve">In the event that the aggregate Borrowing Value of the Pledged Property provided by the BA/IF as collateral is less than the Collateral Requirement as per the preceding paragraph, the BA/IF shall provide additional collateral without delay so that the aggregate Borrowing Value is no longer less than the aggregate Collateral Requirement. </w:t>
      </w:r>
    </w:p>
    <w:p w14:paraId="4B0ED846" w14:textId="6E06E391" w:rsidR="00781813" w:rsidRPr="006B0218" w:rsidRDefault="00D4733B" w:rsidP="000404C2">
      <w:pPr>
        <w:rPr>
          <w:rFonts w:ascii="Times New Roman" w:eastAsia="Calibri" w:hAnsi="Times New Roman" w:cs="Times New Roman"/>
          <w:sz w:val="24"/>
          <w:szCs w:val="24"/>
          <w:lang w:val="en-GB"/>
        </w:rPr>
      </w:pPr>
      <w:r>
        <w:rPr>
          <w:rFonts w:ascii="Times New Roman" w:hAnsi="Times New Roman" w:cs="Times New Roman"/>
          <w:sz w:val="24"/>
          <w:szCs w:val="24"/>
          <w:lang w:val="en"/>
        </w:rPr>
        <w:t>In the event that the aggregate Borrowing Value of the Pledged Property provided by the BA/IF exceeds the aggregate Collateral Requirement, the BA/IF shall be entitled to recover the Pledged Property so that the aggregate Borrowing Value no longer exceeds the aggregate Collateral Requirement.</w:t>
      </w:r>
    </w:p>
    <w:bookmarkEnd w:id="1"/>
    <w:p w14:paraId="3338B547" w14:textId="02B0488C" w:rsidR="00985C7F" w:rsidRPr="006B0218" w:rsidRDefault="00985C7F" w:rsidP="00DB6F43">
      <w:pPr>
        <w:ind w:left="567"/>
        <w:rPr>
          <w:lang w:val="en-GB"/>
        </w:rPr>
      </w:pPr>
    </w:p>
    <w:sectPr w:rsidR="00985C7F" w:rsidRPr="006B0218" w:rsidSect="00BD08F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EC81" w14:textId="77777777" w:rsidR="002C15B2" w:rsidRDefault="002C15B2" w:rsidP="00AD0115">
      <w:pPr>
        <w:spacing w:after="0" w:line="240" w:lineRule="auto"/>
      </w:pPr>
      <w:r>
        <w:separator/>
      </w:r>
    </w:p>
  </w:endnote>
  <w:endnote w:type="continuationSeparator" w:id="0">
    <w:p w14:paraId="00C0FFC3" w14:textId="77777777" w:rsidR="002C15B2" w:rsidRDefault="002C15B2" w:rsidP="00AD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SpaCaslo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175F" w14:textId="77777777" w:rsidR="00BA1C84" w:rsidRDefault="00BA1C8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FB29" w14:textId="22FDE37C" w:rsidR="00BD08F8" w:rsidRPr="006B0218" w:rsidRDefault="00BD08F8" w:rsidP="00BD08F8">
    <w:pPr>
      <w:rPr>
        <w:rFonts w:ascii="Arial" w:hAnsi="Arial" w:cs="Arial"/>
        <w:noProof/>
        <w:lang w:val="en-GB"/>
      </w:rPr>
    </w:pPr>
    <w:r>
      <w:rPr>
        <w:rFonts w:ascii="Arial" w:hAnsi="Arial" w:cs="Arial"/>
        <w:noProof/>
        <w:lang w:val="en"/>
      </w:rPr>
      <mc:AlternateContent>
        <mc:Choice Requires="wps">
          <w:drawing>
            <wp:anchor distT="0" distB="0" distL="114300" distR="114300" simplePos="0" relativeHeight="251659264" behindDoc="0" locked="0" layoutInCell="0" allowOverlap="1" wp14:anchorId="18310414" wp14:editId="2B761EE0">
              <wp:simplePos x="0" y="0"/>
              <wp:positionH relativeFrom="column">
                <wp:posOffset>13970</wp:posOffset>
              </wp:positionH>
              <wp:positionV relativeFrom="paragraph">
                <wp:posOffset>-65405</wp:posOffset>
              </wp:positionV>
              <wp:extent cx="5761355" cy="635"/>
              <wp:effectExtent l="13970" t="10795" r="15875" b="76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9DA3D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15pt" to="45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" o:allowincell="f" strokeweight="1pt"/>
          </w:pict>
        </mc:Fallback>
      </mc:AlternateContent>
    </w:r>
    <w:r>
      <w:rPr>
        <w:rFonts w:ascii="Arial" w:hAnsi="Arial" w:cs="Arial"/>
        <w:lang w:val="en"/>
      </w:rPr>
      <w:t>Separate Pledge Terms and Conditions for Securities Loans - for CLIEN</w:t>
    </w:r>
    <w:r w:rsidR="00BA1C84">
      <w:rPr>
        <w:rFonts w:ascii="Arial" w:hAnsi="Arial" w:cs="Arial"/>
        <w:lang w:val="en"/>
      </w:rPr>
      <w:t xml:space="preserve">T         </w:t>
    </w:r>
    <w:r>
      <w:rPr>
        <w:rFonts w:ascii="Arial" w:hAnsi="Arial" w:cs="Arial"/>
        <w:noProof/>
        <w:lang w:val="en"/>
      </w:rPr>
      <w:t>2021-11-30</w:t>
    </w:r>
  </w:p>
  <w:p w14:paraId="4DB42A37" w14:textId="77777777" w:rsidR="00C833D0" w:rsidRPr="006B0218" w:rsidRDefault="00C833D0">
    <w:pPr>
      <w:pStyle w:val="Sidfo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E1E7" w14:textId="77777777" w:rsidR="00BA1C84" w:rsidRDefault="00BA1C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8B1C" w14:textId="77777777" w:rsidR="002C15B2" w:rsidRDefault="002C15B2" w:rsidP="00AD0115">
      <w:pPr>
        <w:spacing w:after="0" w:line="240" w:lineRule="auto"/>
      </w:pPr>
      <w:r>
        <w:separator/>
      </w:r>
    </w:p>
  </w:footnote>
  <w:footnote w:type="continuationSeparator" w:id="0">
    <w:p w14:paraId="14F7A8A4" w14:textId="77777777" w:rsidR="002C15B2" w:rsidRDefault="002C15B2" w:rsidP="00AD0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1F3C" w14:textId="77777777" w:rsidR="00BA1C84" w:rsidRDefault="00BA1C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D055" w14:textId="2E38EF09" w:rsidR="007E7C95" w:rsidRDefault="007E7C95" w:rsidP="007E7C95">
    <w:pPr>
      <w:pStyle w:val="Sidhuvud"/>
      <w:jc w:val="center"/>
    </w:pPr>
    <w:r>
      <w:rPr>
        <w:noProof/>
        <w:lang w:val="en"/>
      </w:rPr>
      <w:drawing>
        <wp:inline distT="0" distB="0" distL="0" distR="0" wp14:anchorId="00855ADD" wp14:editId="2EF954DA">
          <wp:extent cx="2190750" cy="465583"/>
          <wp:effectExtent l="0" t="0" r="0" b="0"/>
          <wp:docPr id="11" name="Bildobjekt 11" descr="An image displaying tex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320090" cy="493071"/>
                  </a:xfrm>
                  <a:prstGeom prst="rect">
                    <a:avLst/>
                  </a:prstGeom>
                </pic:spPr>
              </pic:pic>
            </a:graphicData>
          </a:graphic>
        </wp:inline>
      </w:drawing>
    </w:r>
  </w:p>
  <w:p w14:paraId="5936FCD1" w14:textId="6A682AE8" w:rsidR="007E7C95" w:rsidRDefault="007E7C95" w:rsidP="007E7C95">
    <w:pPr>
      <w:pStyle w:val="Sidhuvud"/>
      <w:jc w:val="center"/>
    </w:pPr>
  </w:p>
  <w:p w14:paraId="3942F626" w14:textId="77777777" w:rsidR="00C833D0" w:rsidRDefault="00C833D0" w:rsidP="007E7C95">
    <w:pPr>
      <w:pStyle w:val="Sidhuvu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5A47" w14:textId="77777777" w:rsidR="00BA1C84" w:rsidRDefault="00BA1C8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BCC"/>
    <w:multiLevelType w:val="hybridMultilevel"/>
    <w:tmpl w:val="2CDC5BA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0C48645C"/>
    <w:multiLevelType w:val="multilevel"/>
    <w:tmpl w:val="5D92FF16"/>
    <w:lvl w:ilvl="0">
      <w:start w:val="1"/>
      <w:numFmt w:val="decimal"/>
      <w:pStyle w:val="Parties"/>
      <w:lvlText w:val="(%1)"/>
      <w:lvlJc w:val="left"/>
      <w:pPr>
        <w:tabs>
          <w:tab w:val="num" w:pos="680"/>
        </w:tabs>
        <w:ind w:left="680" w:hanging="680"/>
      </w:pPr>
      <w:rPr>
        <w:rFonts w:hint="default"/>
        <w:b/>
        <w:i w:val="0"/>
      </w:rPr>
    </w:lvl>
    <w:lvl w:ilvl="1">
      <w:start w:val="4"/>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A6F25"/>
    <w:multiLevelType w:val="multilevel"/>
    <w:tmpl w:val="E8709DD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44A0CD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19E21D7A"/>
    <w:multiLevelType w:val="multilevel"/>
    <w:tmpl w:val="E8709D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B11DCF"/>
    <w:multiLevelType w:val="multilevel"/>
    <w:tmpl w:val="E8709D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E82680E"/>
    <w:multiLevelType w:val="hybridMultilevel"/>
    <w:tmpl w:val="7166F34A"/>
    <w:lvl w:ilvl="0" w:tplc="F0A6AEDA">
      <w:start w:val="4"/>
      <w:numFmt w:val="decimal"/>
      <w:lvlText w:val="%1."/>
      <w:lvlJc w:val="left"/>
      <w:pPr>
        <w:ind w:left="1664" w:hanging="360"/>
      </w:pPr>
      <w:rPr>
        <w:rFonts w:hint="default"/>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08"/>
    <w:rsid w:val="000373DE"/>
    <w:rsid w:val="000404C2"/>
    <w:rsid w:val="0004735C"/>
    <w:rsid w:val="00075390"/>
    <w:rsid w:val="0009531D"/>
    <w:rsid w:val="000D70A9"/>
    <w:rsid w:val="000E11EB"/>
    <w:rsid w:val="00113AE3"/>
    <w:rsid w:val="001752DA"/>
    <w:rsid w:val="001838B8"/>
    <w:rsid w:val="001A0F61"/>
    <w:rsid w:val="00223BBE"/>
    <w:rsid w:val="0023441A"/>
    <w:rsid w:val="002427BB"/>
    <w:rsid w:val="00247477"/>
    <w:rsid w:val="00250D8E"/>
    <w:rsid w:val="002C15B2"/>
    <w:rsid w:val="002C17C7"/>
    <w:rsid w:val="002D51CD"/>
    <w:rsid w:val="002E64C7"/>
    <w:rsid w:val="003102A4"/>
    <w:rsid w:val="003429F1"/>
    <w:rsid w:val="003437DC"/>
    <w:rsid w:val="00363F45"/>
    <w:rsid w:val="00384B67"/>
    <w:rsid w:val="003A28DE"/>
    <w:rsid w:val="00410A46"/>
    <w:rsid w:val="0043530E"/>
    <w:rsid w:val="00487D37"/>
    <w:rsid w:val="00492D04"/>
    <w:rsid w:val="00522AEB"/>
    <w:rsid w:val="00551742"/>
    <w:rsid w:val="00574D6F"/>
    <w:rsid w:val="005855A2"/>
    <w:rsid w:val="0059149E"/>
    <w:rsid w:val="00627A1F"/>
    <w:rsid w:val="0066592C"/>
    <w:rsid w:val="00692C47"/>
    <w:rsid w:val="006B0218"/>
    <w:rsid w:val="006D404A"/>
    <w:rsid w:val="007015FC"/>
    <w:rsid w:val="00705317"/>
    <w:rsid w:val="0077496E"/>
    <w:rsid w:val="00781813"/>
    <w:rsid w:val="007872D4"/>
    <w:rsid w:val="00794A9F"/>
    <w:rsid w:val="00795366"/>
    <w:rsid w:val="007E7C95"/>
    <w:rsid w:val="00801208"/>
    <w:rsid w:val="008362A4"/>
    <w:rsid w:val="00853CB5"/>
    <w:rsid w:val="008553CE"/>
    <w:rsid w:val="00873502"/>
    <w:rsid w:val="008A1A69"/>
    <w:rsid w:val="008B1784"/>
    <w:rsid w:val="008C36C5"/>
    <w:rsid w:val="008E75EF"/>
    <w:rsid w:val="008F3A57"/>
    <w:rsid w:val="00952353"/>
    <w:rsid w:val="00985C7F"/>
    <w:rsid w:val="00991AA9"/>
    <w:rsid w:val="009D4F0E"/>
    <w:rsid w:val="00A315B5"/>
    <w:rsid w:val="00A33B96"/>
    <w:rsid w:val="00A41018"/>
    <w:rsid w:val="00A67E69"/>
    <w:rsid w:val="00AA456E"/>
    <w:rsid w:val="00AD0115"/>
    <w:rsid w:val="00B40E38"/>
    <w:rsid w:val="00B4278A"/>
    <w:rsid w:val="00BA1C84"/>
    <w:rsid w:val="00BD08F8"/>
    <w:rsid w:val="00C061DA"/>
    <w:rsid w:val="00C20823"/>
    <w:rsid w:val="00C34604"/>
    <w:rsid w:val="00C833D0"/>
    <w:rsid w:val="00C85171"/>
    <w:rsid w:val="00D24E0A"/>
    <w:rsid w:val="00D356AB"/>
    <w:rsid w:val="00D46952"/>
    <w:rsid w:val="00D4733B"/>
    <w:rsid w:val="00D623B0"/>
    <w:rsid w:val="00DB6F43"/>
    <w:rsid w:val="00E01BEA"/>
    <w:rsid w:val="00E33E0C"/>
    <w:rsid w:val="00E359C5"/>
    <w:rsid w:val="00E45D78"/>
    <w:rsid w:val="00E70B27"/>
    <w:rsid w:val="00F628D4"/>
    <w:rsid w:val="00FB58C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1A5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623B0"/>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623B0"/>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qFormat/>
    <w:rsid w:val="00D623B0"/>
    <w:pPr>
      <w:keepNext/>
      <w:numPr>
        <w:ilvl w:val="2"/>
        <w:numId w:val="6"/>
      </w:numPr>
      <w:tabs>
        <w:tab w:val="left" w:pos="0"/>
        <w:tab w:val="left" w:pos="340"/>
        <w:tab w:val="left" w:pos="680"/>
        <w:tab w:val="left" w:pos="1021"/>
        <w:tab w:val="left" w:pos="1361"/>
        <w:tab w:val="left" w:pos="1701"/>
      </w:tabs>
      <w:spacing w:before="360" w:after="120" w:line="240" w:lineRule="auto"/>
      <w:jc w:val="center"/>
      <w:outlineLvl w:val="2"/>
    </w:pPr>
    <w:rPr>
      <w:rFonts w:ascii="FSpaCaslon" w:eastAsia="Times New Roman" w:hAnsi="FSpaCaslon" w:cs="Times New Roman"/>
      <w:b/>
      <w:sz w:val="24"/>
      <w:szCs w:val="20"/>
      <w:u w:val="single"/>
      <w:lang w:eastAsia="sv-SE"/>
    </w:rPr>
  </w:style>
  <w:style w:type="paragraph" w:styleId="Rubrik4">
    <w:name w:val="heading 4"/>
    <w:basedOn w:val="Normal"/>
    <w:next w:val="Normal"/>
    <w:link w:val="Rubrik4Char"/>
    <w:uiPriority w:val="9"/>
    <w:semiHidden/>
    <w:unhideWhenUsed/>
    <w:qFormat/>
    <w:rsid w:val="00D623B0"/>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D623B0"/>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D623B0"/>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D623B0"/>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D623B0"/>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623B0"/>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ties">
    <w:name w:val="Parties"/>
    <w:basedOn w:val="Normal"/>
    <w:rsid w:val="00985C7F"/>
    <w:pPr>
      <w:numPr>
        <w:numId w:val="1"/>
      </w:numPr>
      <w:spacing w:after="140" w:line="290" w:lineRule="auto"/>
      <w:jc w:val="both"/>
    </w:pPr>
    <w:rPr>
      <w:rFonts w:ascii="Arial" w:eastAsia="Times New Roman" w:hAnsi="Arial" w:cs="Times New Roman"/>
      <w:kern w:val="20"/>
      <w:sz w:val="20"/>
      <w:szCs w:val="24"/>
      <w:lang w:val="en-GB" w:eastAsia="en-GB"/>
    </w:rPr>
  </w:style>
  <w:style w:type="paragraph" w:styleId="Liststycke">
    <w:name w:val="List Paragraph"/>
    <w:basedOn w:val="Normal"/>
    <w:uiPriority w:val="34"/>
    <w:qFormat/>
    <w:rsid w:val="00B4278A"/>
    <w:pPr>
      <w:ind w:left="720"/>
      <w:contextualSpacing/>
    </w:pPr>
  </w:style>
  <w:style w:type="character" w:customStyle="1" w:styleId="Rubrik1Char">
    <w:name w:val="Rubrik 1 Char"/>
    <w:basedOn w:val="Standardstycketeckensnitt"/>
    <w:link w:val="Rubrik1"/>
    <w:uiPriority w:val="9"/>
    <w:rsid w:val="00D623B0"/>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D623B0"/>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rsid w:val="00D623B0"/>
    <w:rPr>
      <w:rFonts w:ascii="FSpaCaslon" w:eastAsia="Times New Roman" w:hAnsi="FSpaCaslon" w:cs="Times New Roman"/>
      <w:b/>
      <w:sz w:val="24"/>
      <w:szCs w:val="20"/>
      <w:u w:val="single"/>
      <w:lang w:eastAsia="sv-SE"/>
    </w:rPr>
  </w:style>
  <w:style w:type="character" w:customStyle="1" w:styleId="Rubrik4Char">
    <w:name w:val="Rubrik 4 Char"/>
    <w:basedOn w:val="Standardstycketeckensnitt"/>
    <w:link w:val="Rubrik4"/>
    <w:uiPriority w:val="9"/>
    <w:semiHidden/>
    <w:rsid w:val="00D623B0"/>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D623B0"/>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D623B0"/>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D623B0"/>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D623B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623B0"/>
    <w:rPr>
      <w:rFonts w:asciiTheme="majorHAnsi" w:eastAsiaTheme="majorEastAsia" w:hAnsiTheme="majorHAnsi" w:cstheme="majorBidi"/>
      <w:i/>
      <w:iCs/>
      <w:color w:val="272727" w:themeColor="text1" w:themeTint="D8"/>
      <w:sz w:val="21"/>
      <w:szCs w:val="21"/>
    </w:rPr>
  </w:style>
  <w:style w:type="paragraph" w:styleId="Ballongtext">
    <w:name w:val="Balloon Text"/>
    <w:basedOn w:val="Normal"/>
    <w:link w:val="BallongtextChar"/>
    <w:uiPriority w:val="99"/>
    <w:semiHidden/>
    <w:unhideWhenUsed/>
    <w:rsid w:val="0078181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1813"/>
    <w:rPr>
      <w:rFonts w:ascii="Segoe UI" w:hAnsi="Segoe UI" w:cs="Segoe UI"/>
      <w:sz w:val="18"/>
      <w:szCs w:val="18"/>
    </w:rPr>
  </w:style>
  <w:style w:type="character" w:styleId="Kommentarsreferens">
    <w:name w:val="annotation reference"/>
    <w:basedOn w:val="Standardstycketeckensnitt"/>
    <w:uiPriority w:val="99"/>
    <w:semiHidden/>
    <w:unhideWhenUsed/>
    <w:rsid w:val="00853CB5"/>
    <w:rPr>
      <w:sz w:val="16"/>
      <w:szCs w:val="16"/>
    </w:rPr>
  </w:style>
  <w:style w:type="paragraph" w:styleId="Kommentarer">
    <w:name w:val="annotation text"/>
    <w:basedOn w:val="Normal"/>
    <w:link w:val="KommentarerChar"/>
    <w:uiPriority w:val="99"/>
    <w:semiHidden/>
    <w:unhideWhenUsed/>
    <w:rsid w:val="00853CB5"/>
    <w:pPr>
      <w:spacing w:line="240" w:lineRule="auto"/>
    </w:pPr>
    <w:rPr>
      <w:sz w:val="20"/>
      <w:szCs w:val="20"/>
    </w:rPr>
  </w:style>
  <w:style w:type="character" w:customStyle="1" w:styleId="KommentarerChar">
    <w:name w:val="Kommentarer Char"/>
    <w:basedOn w:val="Standardstycketeckensnitt"/>
    <w:link w:val="Kommentarer"/>
    <w:uiPriority w:val="99"/>
    <w:semiHidden/>
    <w:rsid w:val="00853CB5"/>
    <w:rPr>
      <w:sz w:val="20"/>
      <w:szCs w:val="20"/>
    </w:rPr>
  </w:style>
  <w:style w:type="paragraph" w:styleId="Kommentarsmne">
    <w:name w:val="annotation subject"/>
    <w:basedOn w:val="Kommentarer"/>
    <w:next w:val="Kommentarer"/>
    <w:link w:val="KommentarsmneChar"/>
    <w:uiPriority w:val="99"/>
    <w:semiHidden/>
    <w:unhideWhenUsed/>
    <w:rsid w:val="00853CB5"/>
    <w:rPr>
      <w:b/>
      <w:bCs/>
    </w:rPr>
  </w:style>
  <w:style w:type="character" w:customStyle="1" w:styleId="KommentarsmneChar">
    <w:name w:val="Kommentarsämne Char"/>
    <w:basedOn w:val="KommentarerChar"/>
    <w:link w:val="Kommentarsmne"/>
    <w:uiPriority w:val="99"/>
    <w:semiHidden/>
    <w:rsid w:val="00853CB5"/>
    <w:rPr>
      <w:b/>
      <w:bCs/>
      <w:sz w:val="20"/>
      <w:szCs w:val="20"/>
    </w:rPr>
  </w:style>
  <w:style w:type="paragraph" w:styleId="Sidhuvud">
    <w:name w:val="header"/>
    <w:basedOn w:val="Normal"/>
    <w:link w:val="SidhuvudChar"/>
    <w:uiPriority w:val="99"/>
    <w:unhideWhenUsed/>
    <w:rsid w:val="00AD01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0115"/>
  </w:style>
  <w:style w:type="paragraph" w:styleId="Sidfot">
    <w:name w:val="footer"/>
    <w:basedOn w:val="Normal"/>
    <w:link w:val="SidfotChar"/>
    <w:uiPriority w:val="99"/>
    <w:unhideWhenUsed/>
    <w:rsid w:val="00AD01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6" ma:contentTypeDescription="Create a new document." ma:contentTypeScope="" ma:versionID="28c42902b5b569434cf9981ff7eea5bc">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0d0d27d6edd9acdfbda40e93864d0700"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A4FB4-61BF-4F1E-9AF7-9F9A04ADC6B7}">
  <ds:schemaRefs>
    <ds:schemaRef ds:uri="http://schemas.microsoft.com/office/2006/metadata/properties"/>
    <ds:schemaRef ds:uri="http://schemas.microsoft.com/office/infopath/2007/PartnerControls"/>
    <ds:schemaRef ds:uri="c297726e-2378-4054-9597-3d45f8d54df4"/>
    <ds:schemaRef ds:uri="2337fc17-2acf-4d77-80c9-45ed8debd66b"/>
  </ds:schemaRefs>
</ds:datastoreItem>
</file>

<file path=customXml/itemProps2.xml><?xml version="1.0" encoding="utf-8"?>
<ds:datastoreItem xmlns:ds="http://schemas.openxmlformats.org/officeDocument/2006/customXml" ds:itemID="{3CF8A0D6-3D08-4FE8-851B-F26EF7F0C70B}">
  <ds:schemaRefs>
    <ds:schemaRef ds:uri="http://schemas.microsoft.com/sharepoint/v3/contenttype/forms"/>
  </ds:schemaRefs>
</ds:datastoreItem>
</file>

<file path=customXml/itemProps3.xml><?xml version="1.0" encoding="utf-8"?>
<ds:datastoreItem xmlns:ds="http://schemas.openxmlformats.org/officeDocument/2006/customXml" ds:itemID="{48E6F164-35C5-420A-B797-428C7655C0B0}"/>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4652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2022-10-18T12:13:00Z</dcterms:created>
  <dcterms:modified xsi:type="dcterms:W3CDTF">2022-10-18T12:27:00Z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SIP_Label_fd873446-2530-497e-8874-95622ddd5de1_Enabled">
    <vt:lpwstr>true</vt:lpwstr>
  </property>
  <property fmtid="{D5CDD505-2E9C-101B-9397-08002B2CF9AE}" pid="4" name="MSIP_Label_fd873446-2530-497e-8874-95622ddd5de1_SetDate">
    <vt:lpwstr>2022-08-22T11:51:37Z</vt:lpwstr>
  </property>
  <property fmtid="{D5CDD505-2E9C-101B-9397-08002B2CF9AE}" pid="5" name="MSIP_Label_fd873446-2530-497e-8874-95622ddd5de1_Method">
    <vt:lpwstr>Privileged</vt:lpwstr>
  </property>
  <property fmtid="{D5CDD505-2E9C-101B-9397-08002B2CF9AE}" pid="6" name="MSIP_Label_fd873446-2530-497e-8874-95622ddd5de1_Name">
    <vt:lpwstr>fd873446-2530-497e-8874-95622ddd5de1</vt:lpwstr>
  </property>
  <property fmtid="{D5CDD505-2E9C-101B-9397-08002B2CF9AE}" pid="7" name="MSIP_Label_fd873446-2530-497e-8874-95622ddd5de1_SiteId">
    <vt:lpwstr>9a8ff9e3-0e35-4620-a724-e9834dc50b51</vt:lpwstr>
  </property>
  <property fmtid="{D5CDD505-2E9C-101B-9397-08002B2CF9AE}" pid="8" name="MSIP_Label_fd873446-2530-497e-8874-95622ddd5de1_ActionId">
    <vt:lpwstr>d5515641-7d21-4e77-874c-6a16e74a9d5d</vt:lpwstr>
  </property>
  <property fmtid="{D5CDD505-2E9C-101B-9397-08002B2CF9AE}" pid="9" name="MSIP_Label_fd873446-2530-497e-8874-95622ddd5de1_ContentBits">
    <vt:lpwstr>0</vt:lpwstr>
  </property>
  <property fmtid="{D5CDD505-2E9C-101B-9397-08002B2CF9AE}" pid="10" name="MediaServiceImageTags">
    <vt:lpwstr/>
  </property>
</Properties>
</file>