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6D5B" w14:textId="77777777" w:rsidR="00AF015D" w:rsidRPr="00AF015D" w:rsidRDefault="00AF015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015D">
        <w:rPr>
          <w:rFonts w:ascii="Arial" w:hAnsi="Arial" w:cs="Arial"/>
          <w:b/>
          <w:sz w:val="28"/>
          <w:szCs w:val="28"/>
        </w:rPr>
        <w:t>Svenska Fondhandlareföreningen</w:t>
      </w:r>
    </w:p>
    <w:p w14:paraId="2F97E68B" w14:textId="77777777" w:rsidR="00AF015D" w:rsidRDefault="00AF015D" w:rsidP="00AF0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2013-07-0</w:t>
      </w:r>
      <w:r w:rsidR="005B47AF">
        <w:rPr>
          <w:rFonts w:ascii="Arial" w:hAnsi="Arial" w:cs="Arial"/>
          <w:b/>
        </w:rPr>
        <w:t>8</w:t>
      </w:r>
    </w:p>
    <w:p w14:paraId="71743BF6" w14:textId="77777777" w:rsidR="00C60266" w:rsidRDefault="00C60266">
      <w:pPr>
        <w:rPr>
          <w:rFonts w:ascii="Arial" w:hAnsi="Arial" w:cs="Arial"/>
          <w:b/>
        </w:rPr>
      </w:pPr>
    </w:p>
    <w:p w14:paraId="132D3891" w14:textId="77777777" w:rsidR="00C60266" w:rsidRDefault="00C60266">
      <w:pPr>
        <w:rPr>
          <w:rFonts w:ascii="Arial" w:hAnsi="Arial" w:cs="Arial"/>
          <w:b/>
        </w:rPr>
      </w:pPr>
    </w:p>
    <w:p w14:paraId="48DFD13E" w14:textId="77777777" w:rsidR="00DD5CE6" w:rsidRDefault="00DD5CE6">
      <w:pPr>
        <w:rPr>
          <w:rFonts w:ascii="Arial" w:hAnsi="Arial" w:cs="Arial"/>
          <w:b/>
        </w:rPr>
      </w:pPr>
    </w:p>
    <w:p w14:paraId="4D6B04B3" w14:textId="77777777" w:rsidR="00F77A47" w:rsidRDefault="00162D4A">
      <w:pPr>
        <w:rPr>
          <w:rFonts w:ascii="Arial" w:hAnsi="Arial" w:cs="Arial"/>
          <w:b/>
        </w:rPr>
      </w:pPr>
      <w:r w:rsidRPr="00F77A47">
        <w:rPr>
          <w:rFonts w:ascii="Arial" w:hAnsi="Arial" w:cs="Arial"/>
          <w:b/>
        </w:rPr>
        <w:t>REGLER FÖR</w:t>
      </w:r>
      <w:r w:rsidR="00552D83">
        <w:rPr>
          <w:rFonts w:ascii="Arial" w:hAnsi="Arial" w:cs="Arial"/>
          <w:b/>
        </w:rPr>
        <w:t xml:space="preserve"> PORTFÖLJAVSTÄMNING OCH</w:t>
      </w:r>
      <w:r w:rsidRPr="00F77A47">
        <w:rPr>
          <w:rFonts w:ascii="Arial" w:hAnsi="Arial" w:cs="Arial"/>
          <w:b/>
        </w:rPr>
        <w:t xml:space="preserve"> TVISTELÖSNING</w:t>
      </w:r>
      <w:r w:rsidR="00552D83">
        <w:rPr>
          <w:rFonts w:ascii="Arial" w:hAnsi="Arial" w:cs="Arial"/>
          <w:b/>
        </w:rPr>
        <w:t xml:space="preserve"> ENLIGT EMIR</w:t>
      </w:r>
      <w:r>
        <w:rPr>
          <w:rFonts w:ascii="Arial" w:hAnsi="Arial" w:cs="Arial"/>
          <w:b/>
        </w:rPr>
        <w:t xml:space="preserve"> AVSEENDE OTC-DERIVATKONTRAKT</w:t>
      </w:r>
    </w:p>
    <w:p w14:paraId="1DA02451" w14:textId="77777777" w:rsidR="00162D4A" w:rsidRPr="00162D4A" w:rsidRDefault="007B72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Inledning</w:t>
      </w:r>
    </w:p>
    <w:p w14:paraId="239DF060" w14:textId="77777777" w:rsidR="00F31CB1" w:rsidRPr="00552D83" w:rsidRDefault="00F31CB1" w:rsidP="00F31CB1">
      <w:pPr>
        <w:spacing w:after="0"/>
        <w:rPr>
          <w:rFonts w:ascii="Arial" w:hAnsi="Arial" w:cs="Arial"/>
        </w:rPr>
      </w:pPr>
      <w:r w:rsidRPr="00552D83">
        <w:rPr>
          <w:rFonts w:ascii="Arial" w:hAnsi="Arial" w:cs="Arial"/>
        </w:rPr>
        <w:t>EMIR (European Market Infrastructure Regulation)</w:t>
      </w:r>
      <w:r w:rsidR="00DE1FBB">
        <w:rPr>
          <w:rStyle w:val="Fotnotsreferens"/>
          <w:rFonts w:ascii="Arial" w:hAnsi="Arial" w:cs="Arial"/>
        </w:rPr>
        <w:footnoteReference w:id="1"/>
      </w:r>
      <w:r w:rsidR="00552D83" w:rsidRPr="00552D83">
        <w:rPr>
          <w:rFonts w:ascii="Arial" w:hAnsi="Arial" w:cs="Arial"/>
        </w:rPr>
        <w:t xml:space="preserve"> är ett EU-regelverk som bland annat reglerar handel o</w:t>
      </w:r>
      <w:r w:rsidR="00552D83">
        <w:rPr>
          <w:rFonts w:ascii="Arial" w:hAnsi="Arial" w:cs="Arial"/>
        </w:rPr>
        <w:t>ch clearing av OTC-derivatkontrakt.</w:t>
      </w:r>
    </w:p>
    <w:p w14:paraId="7D1B4825" w14:textId="77777777" w:rsidR="00F31CB1" w:rsidRPr="00552D83" w:rsidRDefault="00F31CB1" w:rsidP="00F31CB1">
      <w:pPr>
        <w:spacing w:after="0"/>
        <w:rPr>
          <w:rFonts w:ascii="Arial" w:hAnsi="Arial" w:cs="Arial"/>
        </w:rPr>
      </w:pPr>
    </w:p>
    <w:p w14:paraId="1AABB944" w14:textId="77777777" w:rsidR="00162D4A" w:rsidRDefault="00F31CB1" w:rsidP="00F31C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Enligt EMIR åligger det parterna i ett OTC-derivatkontrakt som inte clearas </w:t>
      </w:r>
      <w:r w:rsidR="00F77A47">
        <w:rPr>
          <w:rFonts w:ascii="Arial" w:hAnsi="Arial" w:cs="Arial"/>
        </w:rPr>
        <w:t>v</w:t>
      </w:r>
      <w:r>
        <w:rPr>
          <w:rFonts w:ascii="Arial" w:hAnsi="Arial" w:cs="Arial"/>
        </w:rPr>
        <w:t>ia en central motpart att komma överens om formaliserade förfaranden</w:t>
      </w:r>
      <w:r w:rsidR="00DD5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för att</w:t>
      </w:r>
      <w:r w:rsidR="00DD5CE6" w:rsidRPr="00DD5CE6">
        <w:rPr>
          <w:rFonts w:ascii="Arial" w:hAnsi="Arial" w:cs="Arial"/>
        </w:rPr>
        <w:t xml:space="preserve"> </w:t>
      </w:r>
      <w:r w:rsidR="00514CCC">
        <w:rPr>
          <w:rFonts w:ascii="Arial" w:hAnsi="Arial" w:cs="Arial"/>
        </w:rPr>
        <w:t xml:space="preserve">säkerställa att parterna </w:t>
      </w:r>
      <w:r w:rsidR="00823ABC">
        <w:rPr>
          <w:rFonts w:ascii="Arial" w:hAnsi="Arial" w:cs="Arial"/>
        </w:rPr>
        <w:t>ä</w:t>
      </w:r>
      <w:r w:rsidR="00514CCC">
        <w:rPr>
          <w:rFonts w:ascii="Arial" w:hAnsi="Arial" w:cs="Arial"/>
        </w:rPr>
        <w:t xml:space="preserve">r överens om villkoren för kontraktet. I detta syfte ska parterna </w:t>
      </w:r>
      <w:r w:rsidR="00DD5CE6" w:rsidRPr="00DD5CE6">
        <w:rPr>
          <w:rFonts w:ascii="Arial" w:hAnsi="Arial" w:cs="Arial"/>
        </w:rPr>
        <w:t xml:space="preserve">dels genomföra avstämning av </w:t>
      </w:r>
      <w:r w:rsidR="00514CCC">
        <w:rPr>
          <w:rFonts w:ascii="Arial" w:hAnsi="Arial" w:cs="Arial"/>
        </w:rPr>
        <w:t>alla</w:t>
      </w:r>
      <w:r w:rsidR="00DD5CE6" w:rsidRPr="00DD5CE6">
        <w:rPr>
          <w:rFonts w:ascii="Arial" w:hAnsi="Arial" w:cs="Arial"/>
        </w:rPr>
        <w:t xml:space="preserve"> </w:t>
      </w:r>
      <w:r w:rsidR="00DD5CE6">
        <w:rPr>
          <w:rFonts w:ascii="Arial" w:hAnsi="Arial" w:cs="Arial"/>
        </w:rPr>
        <w:t>kontrakt,</w:t>
      </w:r>
      <w:r w:rsidR="00552D83">
        <w:rPr>
          <w:rFonts w:ascii="Arial" w:hAnsi="Arial" w:cs="Arial"/>
        </w:rPr>
        <w:t xml:space="preserve"> dels</w:t>
      </w:r>
      <w:r>
        <w:rPr>
          <w:rFonts w:ascii="Arial" w:hAnsi="Arial" w:cs="Arial"/>
        </w:rPr>
        <w:t xml:space="preserve"> </w:t>
      </w:r>
      <w:r w:rsidR="00514CCC">
        <w:rPr>
          <w:rFonts w:ascii="Arial" w:hAnsi="Arial" w:cs="Arial"/>
        </w:rPr>
        <w:t xml:space="preserve">ha förfarande för att </w:t>
      </w:r>
      <w:r>
        <w:rPr>
          <w:rFonts w:ascii="Arial" w:hAnsi="Arial" w:cs="Arial"/>
        </w:rPr>
        <w:t>tidigt upptäcka tvister mellan parterna och lösa dem</w:t>
      </w:r>
      <w:r w:rsidR="00166DC0">
        <w:rPr>
          <w:rFonts w:ascii="Arial" w:hAnsi="Arial" w:cs="Arial"/>
        </w:rPr>
        <w:t>.</w:t>
      </w:r>
      <w:r w:rsidR="00552D83">
        <w:rPr>
          <w:rFonts w:ascii="Arial" w:hAnsi="Arial" w:cs="Arial"/>
        </w:rPr>
        <w:t xml:space="preserve"> </w:t>
      </w:r>
      <w:r w:rsidR="00514CCC">
        <w:rPr>
          <w:rFonts w:ascii="Arial" w:hAnsi="Arial" w:cs="Arial"/>
        </w:rPr>
        <w:t>För att uppfylla dessa krav</w:t>
      </w:r>
      <w:r>
        <w:rPr>
          <w:rFonts w:ascii="Arial" w:hAnsi="Arial" w:cs="Arial"/>
        </w:rPr>
        <w:t xml:space="preserve"> har </w:t>
      </w:r>
      <w:r w:rsidR="00514CCC">
        <w:rPr>
          <w:rFonts w:ascii="Arial" w:hAnsi="Arial" w:cs="Arial"/>
        </w:rPr>
        <w:t xml:space="preserve">följande </w:t>
      </w:r>
      <w:r>
        <w:rPr>
          <w:rFonts w:ascii="Arial" w:hAnsi="Arial" w:cs="Arial"/>
        </w:rPr>
        <w:t>regler</w:t>
      </w:r>
      <w:r w:rsidR="00043A74">
        <w:rPr>
          <w:rFonts w:ascii="Arial" w:hAnsi="Arial" w:cs="Arial"/>
        </w:rPr>
        <w:t xml:space="preserve"> för</w:t>
      </w:r>
      <w:r w:rsidR="00552D83">
        <w:rPr>
          <w:rFonts w:ascii="Arial" w:hAnsi="Arial" w:cs="Arial"/>
        </w:rPr>
        <w:t xml:space="preserve"> portföljavstämning</w:t>
      </w:r>
      <w:r w:rsidR="00043A74">
        <w:rPr>
          <w:rFonts w:ascii="Arial" w:hAnsi="Arial" w:cs="Arial"/>
        </w:rPr>
        <w:t xml:space="preserve"> och tvistelösning</w:t>
      </w:r>
      <w:r w:rsidR="00514CCC">
        <w:rPr>
          <w:rFonts w:ascii="Arial" w:hAnsi="Arial" w:cs="Arial"/>
        </w:rPr>
        <w:t xml:space="preserve"> utformats.</w:t>
      </w:r>
      <w:r w:rsidR="00F77A47">
        <w:rPr>
          <w:rFonts w:ascii="Arial" w:hAnsi="Arial" w:cs="Arial"/>
        </w:rPr>
        <w:t xml:space="preserve"> </w:t>
      </w:r>
      <w:r w:rsidR="00514CCC">
        <w:rPr>
          <w:rFonts w:ascii="Arial" w:hAnsi="Arial" w:cs="Arial"/>
        </w:rPr>
        <w:t>Reglerna är avsedda att tillämpas mellan värdepappersinstitut (banker och värdepappersbolag) och deras motparter.</w:t>
      </w:r>
    </w:p>
    <w:p w14:paraId="48EF2910" w14:textId="77777777" w:rsidR="00CA39F6" w:rsidRDefault="00CA39F6" w:rsidP="00CA39F6">
      <w:pPr>
        <w:spacing w:after="0"/>
        <w:rPr>
          <w:rFonts w:ascii="Arial" w:hAnsi="Arial" w:cs="Arial"/>
        </w:rPr>
      </w:pPr>
    </w:p>
    <w:p w14:paraId="1A072FF8" w14:textId="77777777" w:rsidR="00514CCC" w:rsidRDefault="00514CCC" w:rsidP="00CA3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Dessa regler ska endast gälla mellan parterna till uppfyllande av</w:t>
      </w:r>
      <w:r w:rsidR="00CA39F6">
        <w:rPr>
          <w:rFonts w:ascii="Arial" w:hAnsi="Arial" w:cs="Arial"/>
        </w:rPr>
        <w:t xml:space="preserve"> EMIRs krav</w:t>
      </w:r>
      <w:r>
        <w:rPr>
          <w:rFonts w:ascii="Arial" w:hAnsi="Arial" w:cs="Arial"/>
        </w:rPr>
        <w:t xml:space="preserve">. En tvist </w:t>
      </w:r>
      <w:r w:rsidR="00D34183">
        <w:rPr>
          <w:rFonts w:ascii="Arial" w:hAnsi="Arial" w:cs="Arial"/>
        </w:rPr>
        <w:t>som</w:t>
      </w:r>
      <w:r w:rsidR="00552D83">
        <w:rPr>
          <w:rFonts w:ascii="Arial" w:hAnsi="Arial" w:cs="Arial"/>
        </w:rPr>
        <w:t xml:space="preserve"> enligt </w:t>
      </w:r>
      <w:r>
        <w:rPr>
          <w:rFonts w:ascii="Arial" w:hAnsi="Arial" w:cs="Arial"/>
        </w:rPr>
        <w:t>nedanstående regler</w:t>
      </w:r>
      <w:r w:rsidR="00D34183">
        <w:rPr>
          <w:rFonts w:ascii="Arial" w:hAnsi="Arial" w:cs="Arial"/>
        </w:rPr>
        <w:t xml:space="preserve"> är hänskjuten till skiljeförfarande</w:t>
      </w:r>
      <w:r w:rsidR="00823ABC">
        <w:rPr>
          <w:rFonts w:ascii="Arial" w:hAnsi="Arial" w:cs="Arial"/>
        </w:rPr>
        <w:t xml:space="preserve"> kommer dock att slutligt avgöras mellan parterna enligt särskild reglering i</w:t>
      </w:r>
      <w:r w:rsidR="00D34183">
        <w:rPr>
          <w:rFonts w:ascii="Arial" w:hAnsi="Arial" w:cs="Arial"/>
        </w:rPr>
        <w:t xml:space="preserve"> lagen om skiljeförfarande</w:t>
      </w:r>
      <w:r w:rsidR="00CA39F6">
        <w:rPr>
          <w:rFonts w:ascii="Arial" w:hAnsi="Arial" w:cs="Arial"/>
        </w:rPr>
        <w:t xml:space="preserve">. </w:t>
      </w:r>
    </w:p>
    <w:p w14:paraId="20C7F8D0" w14:textId="77777777" w:rsidR="00514CCC" w:rsidRDefault="00514CCC" w:rsidP="00CA39F6">
      <w:pPr>
        <w:spacing w:after="0"/>
        <w:rPr>
          <w:rFonts w:ascii="Arial" w:hAnsi="Arial" w:cs="Arial"/>
        </w:rPr>
      </w:pPr>
    </w:p>
    <w:p w14:paraId="32A1147C" w14:textId="77777777" w:rsidR="00CA39F6" w:rsidRDefault="00CA39F6" w:rsidP="00CA3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Om inte tvisten är häns</w:t>
      </w:r>
      <w:r w:rsidR="00794CF7">
        <w:rPr>
          <w:rFonts w:ascii="Arial" w:hAnsi="Arial" w:cs="Arial"/>
        </w:rPr>
        <w:t>k</w:t>
      </w:r>
      <w:r>
        <w:rPr>
          <w:rFonts w:ascii="Arial" w:hAnsi="Arial" w:cs="Arial"/>
        </w:rPr>
        <w:t>juten till skiljeförfarande enligt nedan</w:t>
      </w:r>
      <w:r w:rsidR="00514CCC">
        <w:rPr>
          <w:rFonts w:ascii="Arial" w:hAnsi="Arial" w:cs="Arial"/>
        </w:rPr>
        <w:t>stående regler kan</w:t>
      </w:r>
      <w:r>
        <w:rPr>
          <w:rFonts w:ascii="Arial" w:hAnsi="Arial" w:cs="Arial"/>
        </w:rPr>
        <w:t xml:space="preserve"> parterna</w:t>
      </w:r>
      <w:r w:rsidR="00794CF7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å sin sak prövad på annat sätt, t.ex. i domstol</w:t>
      </w:r>
      <w:r w:rsidR="00166DC0">
        <w:rPr>
          <w:rFonts w:ascii="Arial" w:hAnsi="Arial" w:cs="Arial"/>
        </w:rPr>
        <w:t xml:space="preserve">. </w:t>
      </w:r>
      <w:r w:rsidR="00043A7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ar </w:t>
      </w:r>
      <w:r w:rsidR="00D34183">
        <w:rPr>
          <w:rFonts w:ascii="Arial" w:hAnsi="Arial" w:cs="Arial"/>
        </w:rPr>
        <w:t xml:space="preserve">parterna avtalat om att tvister </w:t>
      </w:r>
      <w:r w:rsidR="00B674DF">
        <w:rPr>
          <w:rFonts w:ascii="Arial" w:hAnsi="Arial" w:cs="Arial"/>
        </w:rPr>
        <w:t xml:space="preserve">ska avgöras </w:t>
      </w:r>
      <w:r w:rsidR="00D34183">
        <w:rPr>
          <w:rFonts w:ascii="Arial" w:hAnsi="Arial" w:cs="Arial"/>
        </w:rPr>
        <w:t xml:space="preserve">på annat sätt ska detta fortfarande gälla mellan parterna. </w:t>
      </w:r>
      <w:r>
        <w:rPr>
          <w:rFonts w:ascii="Arial" w:hAnsi="Arial" w:cs="Arial"/>
        </w:rPr>
        <w:t xml:space="preserve">  </w:t>
      </w:r>
    </w:p>
    <w:p w14:paraId="689BB97A" w14:textId="77777777" w:rsidR="00162D4A" w:rsidRDefault="00162D4A" w:rsidP="00F31CB1">
      <w:pPr>
        <w:spacing w:after="0"/>
        <w:rPr>
          <w:rFonts w:ascii="Arial" w:hAnsi="Arial" w:cs="Arial"/>
        </w:rPr>
      </w:pPr>
    </w:p>
    <w:p w14:paraId="392774C2" w14:textId="77777777" w:rsidR="00F31CB1" w:rsidRPr="00162D4A" w:rsidRDefault="00166DC0" w:rsidP="00F31C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Portföljavstämning</w:t>
      </w:r>
      <w:r w:rsidR="00B674DF">
        <w:rPr>
          <w:rFonts w:ascii="Arial" w:hAnsi="Arial" w:cs="Arial"/>
          <w:b/>
        </w:rPr>
        <w:t xml:space="preserve"> och tvistelösning genom förhandling mellan parterna </w:t>
      </w:r>
      <w:r w:rsidR="00F31CB1" w:rsidRPr="00162D4A">
        <w:rPr>
          <w:rFonts w:ascii="Arial" w:hAnsi="Arial" w:cs="Arial"/>
          <w:b/>
        </w:rPr>
        <w:t xml:space="preserve"> </w:t>
      </w:r>
    </w:p>
    <w:p w14:paraId="39B6FE7C" w14:textId="77777777" w:rsidR="00CA39F6" w:rsidRDefault="00CA39F6" w:rsidP="00F31CB1">
      <w:pPr>
        <w:spacing w:after="0"/>
        <w:rPr>
          <w:rFonts w:ascii="Arial" w:hAnsi="Arial" w:cs="Arial"/>
        </w:rPr>
      </w:pPr>
    </w:p>
    <w:p w14:paraId="3C4DA3E1" w14:textId="77777777" w:rsidR="00F31CB1" w:rsidRDefault="00514CCC">
      <w:pPr>
        <w:rPr>
          <w:rFonts w:ascii="Arial" w:hAnsi="Arial" w:cs="Arial"/>
        </w:rPr>
      </w:pPr>
      <w:r>
        <w:rPr>
          <w:rFonts w:ascii="Arial" w:hAnsi="Arial" w:cs="Arial"/>
        </w:rPr>
        <w:t>Värdep</w:t>
      </w:r>
      <w:r w:rsidR="00823ABC">
        <w:rPr>
          <w:rFonts w:ascii="Arial" w:hAnsi="Arial" w:cs="Arial"/>
        </w:rPr>
        <w:t>a</w:t>
      </w:r>
      <w:r>
        <w:rPr>
          <w:rFonts w:ascii="Arial" w:hAnsi="Arial" w:cs="Arial"/>
        </w:rPr>
        <w:t>ppersinstitut</w:t>
      </w:r>
      <w:r w:rsidR="00552D83">
        <w:rPr>
          <w:rFonts w:ascii="Arial" w:hAnsi="Arial" w:cs="Arial"/>
        </w:rPr>
        <w:t xml:space="preserve"> </w:t>
      </w:r>
      <w:r w:rsidR="00CF2ADE">
        <w:rPr>
          <w:rFonts w:ascii="Arial" w:hAnsi="Arial" w:cs="Arial"/>
        </w:rPr>
        <w:t>tillställer</w:t>
      </w:r>
      <w:r w:rsidR="00F77A47">
        <w:rPr>
          <w:rFonts w:ascii="Arial" w:hAnsi="Arial" w:cs="Arial"/>
        </w:rPr>
        <w:t xml:space="preserve"> motparten</w:t>
      </w:r>
      <w:r w:rsidR="00CF2ADE">
        <w:rPr>
          <w:rFonts w:ascii="Arial" w:hAnsi="Arial" w:cs="Arial"/>
        </w:rPr>
        <w:t xml:space="preserve"> en portföljsammanställning</w:t>
      </w:r>
      <w:r w:rsidR="00F77A47">
        <w:rPr>
          <w:rFonts w:ascii="Arial" w:hAnsi="Arial" w:cs="Arial"/>
        </w:rPr>
        <w:t xml:space="preserve"> åtminstone en gång </w:t>
      </w:r>
      <w:r w:rsidR="00B674DF">
        <w:rPr>
          <w:rFonts w:ascii="Arial" w:hAnsi="Arial" w:cs="Arial"/>
        </w:rPr>
        <w:t xml:space="preserve">om året </w:t>
      </w:r>
      <w:r w:rsidR="00CF2ADE">
        <w:rPr>
          <w:rFonts w:ascii="Arial" w:hAnsi="Arial" w:cs="Arial"/>
        </w:rPr>
        <w:t>avseende</w:t>
      </w:r>
      <w:r w:rsidR="00F77A47">
        <w:rPr>
          <w:rFonts w:ascii="Arial" w:hAnsi="Arial" w:cs="Arial"/>
        </w:rPr>
        <w:t xml:space="preserve"> samtliga med motparten utestående </w:t>
      </w:r>
      <w:r w:rsidR="00043A74">
        <w:rPr>
          <w:rFonts w:ascii="Arial" w:hAnsi="Arial" w:cs="Arial"/>
        </w:rPr>
        <w:t>OTC-derivat</w:t>
      </w:r>
      <w:r w:rsidR="00F77A47">
        <w:rPr>
          <w:rFonts w:ascii="Arial" w:hAnsi="Arial" w:cs="Arial"/>
        </w:rPr>
        <w:t>kontrakt</w:t>
      </w:r>
      <w:r w:rsidR="006B57B9">
        <w:rPr>
          <w:rFonts w:ascii="Arial" w:hAnsi="Arial" w:cs="Arial"/>
        </w:rPr>
        <w:t xml:space="preserve"> samt i förekommande fall en sammanställning över ställda säkerheter</w:t>
      </w:r>
      <w:r w:rsidR="00F77A47">
        <w:rPr>
          <w:rFonts w:ascii="Arial" w:hAnsi="Arial" w:cs="Arial"/>
        </w:rPr>
        <w:t>.</w:t>
      </w:r>
      <w:r w:rsidR="00CF2ADE">
        <w:rPr>
          <w:rFonts w:ascii="Arial" w:hAnsi="Arial" w:cs="Arial"/>
        </w:rPr>
        <w:t xml:space="preserve"> I samband med varje avslut om ett</w:t>
      </w:r>
      <w:r w:rsidR="00043A74">
        <w:rPr>
          <w:rFonts w:ascii="Arial" w:hAnsi="Arial" w:cs="Arial"/>
        </w:rPr>
        <w:t xml:space="preserve"> nytt</w:t>
      </w:r>
      <w:r w:rsidR="00166DC0">
        <w:rPr>
          <w:rFonts w:ascii="Arial" w:hAnsi="Arial" w:cs="Arial"/>
        </w:rPr>
        <w:t xml:space="preserve"> </w:t>
      </w:r>
      <w:r w:rsidR="00CF2ADE">
        <w:rPr>
          <w:rFonts w:ascii="Arial" w:hAnsi="Arial" w:cs="Arial"/>
        </w:rPr>
        <w:t xml:space="preserve">kontrakt tillställer </w:t>
      </w:r>
      <w:r w:rsidR="00B674DF">
        <w:rPr>
          <w:rFonts w:ascii="Arial" w:hAnsi="Arial" w:cs="Arial"/>
        </w:rPr>
        <w:t xml:space="preserve">värdepappersinstitutet </w:t>
      </w:r>
      <w:r w:rsidR="00CF2ADE">
        <w:rPr>
          <w:rFonts w:ascii="Arial" w:hAnsi="Arial" w:cs="Arial"/>
        </w:rPr>
        <w:t xml:space="preserve">motparten en bekräftelse avseende kontraktets villkor.  </w:t>
      </w:r>
    </w:p>
    <w:p w14:paraId="0994B77F" w14:textId="77777777" w:rsidR="00F77A47" w:rsidRDefault="006B57B9">
      <w:pPr>
        <w:rPr>
          <w:rFonts w:ascii="Arial" w:hAnsi="Arial" w:cs="Arial"/>
        </w:rPr>
      </w:pPr>
      <w:r>
        <w:rPr>
          <w:rFonts w:ascii="Arial" w:hAnsi="Arial" w:cs="Arial"/>
        </w:rPr>
        <w:t>Motparten ska utan dröjsmål granska</w:t>
      </w:r>
      <w:r w:rsidR="00166DC0">
        <w:rPr>
          <w:rFonts w:ascii="Arial" w:hAnsi="Arial" w:cs="Arial"/>
        </w:rPr>
        <w:t xml:space="preserve"> mottagna dokument</w:t>
      </w:r>
      <w:r w:rsidR="00CA39F6">
        <w:rPr>
          <w:rFonts w:ascii="Arial" w:hAnsi="Arial" w:cs="Arial"/>
        </w:rPr>
        <w:t xml:space="preserve"> och </w:t>
      </w:r>
      <w:r w:rsidR="00F77A47">
        <w:rPr>
          <w:rFonts w:ascii="Arial" w:hAnsi="Arial" w:cs="Arial"/>
        </w:rPr>
        <w:t>snarast möjligt påtala fel och brister</w:t>
      </w:r>
      <w:r w:rsidR="00043A74">
        <w:rPr>
          <w:rFonts w:ascii="Arial" w:hAnsi="Arial" w:cs="Arial"/>
        </w:rPr>
        <w:t xml:space="preserve"> </w:t>
      </w:r>
      <w:r w:rsidR="00D627ED">
        <w:rPr>
          <w:rFonts w:ascii="Arial" w:hAnsi="Arial" w:cs="Arial"/>
        </w:rPr>
        <w:t>samt</w:t>
      </w:r>
      <w:r w:rsidR="00166DC0">
        <w:rPr>
          <w:rFonts w:ascii="Arial" w:hAnsi="Arial" w:cs="Arial"/>
        </w:rPr>
        <w:t xml:space="preserve"> i förekommande fall</w:t>
      </w:r>
      <w:r w:rsidR="00D627ED">
        <w:rPr>
          <w:rFonts w:ascii="Arial" w:hAnsi="Arial" w:cs="Arial"/>
        </w:rPr>
        <w:t xml:space="preserve"> invända mot</w:t>
      </w:r>
      <w:r w:rsidR="00162D4A">
        <w:rPr>
          <w:rFonts w:ascii="Arial" w:hAnsi="Arial" w:cs="Arial"/>
        </w:rPr>
        <w:t xml:space="preserve"> av</w:t>
      </w:r>
      <w:r w:rsidR="00B72A40">
        <w:rPr>
          <w:rFonts w:ascii="Arial" w:hAnsi="Arial" w:cs="Arial"/>
        </w:rPr>
        <w:t xml:space="preserve"> värdepappersinstitut</w:t>
      </w:r>
      <w:r w:rsidR="009E01FF">
        <w:rPr>
          <w:rFonts w:ascii="Arial" w:hAnsi="Arial" w:cs="Arial"/>
        </w:rPr>
        <w:t>et</w:t>
      </w:r>
      <w:r w:rsidR="00D627ED">
        <w:rPr>
          <w:rFonts w:ascii="Arial" w:hAnsi="Arial" w:cs="Arial"/>
        </w:rPr>
        <w:t xml:space="preserve"> angivna värden</w:t>
      </w:r>
      <w:r w:rsidR="00CF2ADE">
        <w:rPr>
          <w:rFonts w:ascii="Arial" w:hAnsi="Arial" w:cs="Arial"/>
        </w:rPr>
        <w:t xml:space="preserve"> rörande förtecknade kontrakt och </w:t>
      </w:r>
      <w:r w:rsidR="00D627ED">
        <w:rPr>
          <w:rFonts w:ascii="Arial" w:hAnsi="Arial" w:cs="Arial"/>
        </w:rPr>
        <w:t>lämnade sammanställningar över ställda säkerheter.</w:t>
      </w:r>
      <w:r w:rsidR="00CA39F6" w:rsidRPr="00CA39F6">
        <w:rPr>
          <w:rFonts w:ascii="Arial" w:hAnsi="Arial" w:cs="Arial"/>
        </w:rPr>
        <w:t xml:space="preserve"> </w:t>
      </w:r>
      <w:r w:rsidR="00CA39F6">
        <w:rPr>
          <w:rFonts w:ascii="Arial" w:hAnsi="Arial" w:cs="Arial"/>
        </w:rPr>
        <w:t>Om inte motparten kontaktat</w:t>
      </w:r>
      <w:r w:rsidR="00823ABC">
        <w:rPr>
          <w:rFonts w:ascii="Arial" w:hAnsi="Arial" w:cs="Arial"/>
        </w:rPr>
        <w:t xml:space="preserve"> </w:t>
      </w:r>
      <w:r w:rsidR="00B72A40">
        <w:rPr>
          <w:rFonts w:ascii="Arial" w:hAnsi="Arial" w:cs="Arial"/>
        </w:rPr>
        <w:t>värdepappersinstitutet</w:t>
      </w:r>
      <w:r w:rsidR="00CA39F6">
        <w:rPr>
          <w:rFonts w:ascii="Arial" w:hAnsi="Arial" w:cs="Arial"/>
        </w:rPr>
        <w:t xml:space="preserve"> inom </w:t>
      </w:r>
      <w:r w:rsidR="00166DC0">
        <w:rPr>
          <w:rFonts w:ascii="Arial" w:hAnsi="Arial" w:cs="Arial"/>
        </w:rPr>
        <w:t>fem</w:t>
      </w:r>
      <w:r w:rsidR="00CA39F6">
        <w:rPr>
          <w:rFonts w:ascii="Arial" w:hAnsi="Arial" w:cs="Arial"/>
        </w:rPr>
        <w:t xml:space="preserve"> affärsdagar från mottagandet</w:t>
      </w:r>
      <w:r w:rsidR="00CF2ADE">
        <w:rPr>
          <w:rFonts w:ascii="Arial" w:hAnsi="Arial" w:cs="Arial"/>
        </w:rPr>
        <w:t xml:space="preserve"> av </w:t>
      </w:r>
      <w:r w:rsidR="00CF2ADE">
        <w:rPr>
          <w:rFonts w:ascii="Arial" w:hAnsi="Arial" w:cs="Arial"/>
        </w:rPr>
        <w:lastRenderedPageBreak/>
        <w:t>e</w:t>
      </w:r>
      <w:r w:rsidR="00B72A40">
        <w:rPr>
          <w:rFonts w:ascii="Arial" w:hAnsi="Arial" w:cs="Arial"/>
        </w:rPr>
        <w:t>tt dokument</w:t>
      </w:r>
      <w:r w:rsidR="00CA39F6">
        <w:rPr>
          <w:rFonts w:ascii="Arial" w:hAnsi="Arial" w:cs="Arial"/>
        </w:rPr>
        <w:t xml:space="preserve"> ska motparten</w:t>
      </w:r>
      <w:r w:rsidR="00823ABC">
        <w:rPr>
          <w:rFonts w:ascii="Arial" w:hAnsi="Arial" w:cs="Arial"/>
        </w:rPr>
        <w:t>, om annat inte särskilt överenskommits mellan parterna,</w:t>
      </w:r>
      <w:r w:rsidR="00CA39F6">
        <w:rPr>
          <w:rFonts w:ascii="Arial" w:hAnsi="Arial" w:cs="Arial"/>
        </w:rPr>
        <w:t xml:space="preserve"> anses </w:t>
      </w:r>
      <w:r w:rsidR="00B674DF">
        <w:rPr>
          <w:rFonts w:ascii="Arial" w:hAnsi="Arial" w:cs="Arial"/>
        </w:rPr>
        <w:t>h</w:t>
      </w:r>
      <w:r w:rsidR="00CA39F6">
        <w:rPr>
          <w:rFonts w:ascii="Arial" w:hAnsi="Arial" w:cs="Arial"/>
        </w:rPr>
        <w:t xml:space="preserve">a accepterat av </w:t>
      </w:r>
      <w:r w:rsidR="009E01FF">
        <w:rPr>
          <w:rFonts w:ascii="Arial" w:hAnsi="Arial" w:cs="Arial"/>
        </w:rPr>
        <w:t>institutet</w:t>
      </w:r>
      <w:r w:rsidR="00CA39F6">
        <w:rPr>
          <w:rFonts w:ascii="Arial" w:hAnsi="Arial" w:cs="Arial"/>
        </w:rPr>
        <w:t xml:space="preserve"> angivna uppgifter</w:t>
      </w:r>
      <w:r w:rsidR="00C3565D">
        <w:rPr>
          <w:rFonts w:ascii="Arial" w:hAnsi="Arial" w:cs="Arial"/>
        </w:rPr>
        <w:t xml:space="preserve"> och värden</w:t>
      </w:r>
      <w:r w:rsidR="00166DC0">
        <w:rPr>
          <w:rFonts w:ascii="Arial" w:hAnsi="Arial" w:cs="Arial"/>
        </w:rPr>
        <w:t>.</w:t>
      </w:r>
    </w:p>
    <w:p w14:paraId="295044ED" w14:textId="77777777" w:rsidR="00D627ED" w:rsidRDefault="00B72A40">
      <w:pPr>
        <w:rPr>
          <w:rFonts w:ascii="Arial" w:hAnsi="Arial" w:cs="Arial"/>
        </w:rPr>
      </w:pPr>
      <w:r>
        <w:rPr>
          <w:rFonts w:ascii="Arial" w:hAnsi="Arial" w:cs="Arial"/>
        </w:rPr>
        <w:t>Om</w:t>
      </w:r>
      <w:r w:rsidR="00D627ED">
        <w:rPr>
          <w:rFonts w:ascii="Arial" w:hAnsi="Arial" w:cs="Arial"/>
        </w:rPr>
        <w:t xml:space="preserve"> fel och brister påtalats eller invändningar framställts av motparten </w:t>
      </w:r>
      <w:r w:rsidR="00162D4A">
        <w:rPr>
          <w:rFonts w:ascii="Arial" w:hAnsi="Arial" w:cs="Arial"/>
        </w:rPr>
        <w:t>ska</w:t>
      </w:r>
      <w:r w:rsidR="00D627ED">
        <w:rPr>
          <w:rFonts w:ascii="Arial" w:hAnsi="Arial" w:cs="Arial"/>
        </w:rPr>
        <w:t xml:space="preserve"> parterna omedelbart</w:t>
      </w:r>
      <w:r w:rsidR="00C26B05">
        <w:rPr>
          <w:rFonts w:ascii="Arial" w:hAnsi="Arial" w:cs="Arial"/>
        </w:rPr>
        <w:t xml:space="preserve"> inleda samtal med</w:t>
      </w:r>
      <w:r w:rsidR="00D627ED">
        <w:rPr>
          <w:rFonts w:ascii="Arial" w:hAnsi="Arial" w:cs="Arial"/>
        </w:rPr>
        <w:t xml:space="preserve"> varandra i syfte att komma överens i den aktuella frågan. Har en överenskommelse inte träffats inom tre affärsdagar </w:t>
      </w:r>
      <w:r w:rsidR="00C26B05">
        <w:rPr>
          <w:rFonts w:ascii="Arial" w:hAnsi="Arial" w:cs="Arial"/>
        </w:rPr>
        <w:t xml:space="preserve">från samtalens inledande </w:t>
      </w:r>
      <w:r w:rsidR="003A4309">
        <w:rPr>
          <w:rFonts w:ascii="Arial" w:hAnsi="Arial" w:cs="Arial"/>
        </w:rPr>
        <w:t>ska frågan</w:t>
      </w:r>
      <w:r w:rsidR="00C26B05">
        <w:rPr>
          <w:rFonts w:ascii="Arial" w:hAnsi="Arial" w:cs="Arial"/>
        </w:rPr>
        <w:t xml:space="preserve"> hänskjutas till respektive</w:t>
      </w:r>
      <w:r w:rsidR="003A4309">
        <w:rPr>
          <w:rFonts w:ascii="Arial" w:hAnsi="Arial" w:cs="Arial"/>
        </w:rPr>
        <w:t xml:space="preserve"> överordnad chef.</w:t>
      </w:r>
    </w:p>
    <w:p w14:paraId="0770FE02" w14:textId="77777777" w:rsidR="00C26B05" w:rsidDel="00320C59" w:rsidRDefault="00C26B05">
      <w:pPr>
        <w:rPr>
          <w:rFonts w:ascii="Arial" w:hAnsi="Arial" w:cs="Arial"/>
        </w:rPr>
      </w:pPr>
      <w:r w:rsidDel="00320C59">
        <w:rPr>
          <w:rFonts w:ascii="Arial" w:hAnsi="Arial" w:cs="Arial"/>
        </w:rPr>
        <w:t>Om parterna inte kommit överens inom fem affärsdagar</w:t>
      </w:r>
      <w:r w:rsidR="00166DC0" w:rsidDel="00320C59">
        <w:rPr>
          <w:rFonts w:ascii="Arial" w:hAnsi="Arial" w:cs="Arial"/>
        </w:rPr>
        <w:t xml:space="preserve"> från samtalens inledande</w:t>
      </w:r>
      <w:r w:rsidR="00327165">
        <w:rPr>
          <w:rFonts w:ascii="Arial" w:hAnsi="Arial" w:cs="Arial"/>
        </w:rPr>
        <w:t xml:space="preserve"> kan part hänskjuta frågan till skiljeförfarande enligt nedan. Om</w:t>
      </w:r>
      <w:r w:rsidDel="00320C59">
        <w:rPr>
          <w:rFonts w:ascii="Arial" w:hAnsi="Arial" w:cs="Arial"/>
        </w:rPr>
        <w:t xml:space="preserve"> ingen av parterna</w:t>
      </w:r>
      <w:r w:rsidR="00BE1E36" w:rsidDel="00320C59">
        <w:rPr>
          <w:rFonts w:ascii="Arial" w:hAnsi="Arial" w:cs="Arial"/>
        </w:rPr>
        <w:t xml:space="preserve"> inom 30 dagar</w:t>
      </w:r>
      <w:r w:rsidR="00166DC0" w:rsidDel="00320C59">
        <w:rPr>
          <w:rFonts w:ascii="Arial" w:hAnsi="Arial" w:cs="Arial"/>
        </w:rPr>
        <w:t xml:space="preserve"> från samtalens inledande</w:t>
      </w:r>
      <w:r w:rsidR="00BE1E36" w:rsidDel="00320C59">
        <w:rPr>
          <w:rFonts w:ascii="Arial" w:hAnsi="Arial" w:cs="Arial"/>
        </w:rPr>
        <w:t xml:space="preserve"> </w:t>
      </w:r>
      <w:r w:rsidDel="00320C59">
        <w:rPr>
          <w:rFonts w:ascii="Arial" w:hAnsi="Arial" w:cs="Arial"/>
        </w:rPr>
        <w:t xml:space="preserve">hänskjutit frågan till </w:t>
      </w:r>
      <w:r w:rsidR="00327165">
        <w:rPr>
          <w:rFonts w:ascii="Arial" w:hAnsi="Arial" w:cs="Arial"/>
        </w:rPr>
        <w:t xml:space="preserve">sådant </w:t>
      </w:r>
      <w:r w:rsidDel="00320C59">
        <w:rPr>
          <w:rFonts w:ascii="Arial" w:hAnsi="Arial" w:cs="Arial"/>
        </w:rPr>
        <w:t>skiljeförfarande</w:t>
      </w:r>
      <w:r w:rsidR="00C3565D" w:rsidDel="00320C59">
        <w:rPr>
          <w:rFonts w:ascii="Arial" w:hAnsi="Arial" w:cs="Arial"/>
        </w:rPr>
        <w:t>,</w:t>
      </w:r>
      <w:r w:rsidDel="00320C59">
        <w:rPr>
          <w:rFonts w:ascii="Arial" w:hAnsi="Arial" w:cs="Arial"/>
        </w:rPr>
        <w:t xml:space="preserve"> ska tvisten</w:t>
      </w:r>
      <w:r w:rsidR="00C3565D" w:rsidDel="00320C59">
        <w:rPr>
          <w:rFonts w:ascii="Arial" w:hAnsi="Arial" w:cs="Arial"/>
        </w:rPr>
        <w:t xml:space="preserve"> såvitt avser andra frågor än värderingsfrågor anses bilagd </w:t>
      </w:r>
      <w:r w:rsidDel="00320C59">
        <w:rPr>
          <w:rFonts w:ascii="Arial" w:hAnsi="Arial" w:cs="Arial"/>
        </w:rPr>
        <w:t xml:space="preserve">och av </w:t>
      </w:r>
      <w:r w:rsidR="00B72A40" w:rsidDel="00320C59">
        <w:rPr>
          <w:rFonts w:ascii="Arial" w:hAnsi="Arial" w:cs="Arial"/>
        </w:rPr>
        <w:t>vär</w:t>
      </w:r>
      <w:r w:rsidR="00823ABC" w:rsidDel="00320C59">
        <w:rPr>
          <w:rFonts w:ascii="Arial" w:hAnsi="Arial" w:cs="Arial"/>
        </w:rPr>
        <w:t>d</w:t>
      </w:r>
      <w:r w:rsidR="00B72A40" w:rsidDel="00320C59">
        <w:rPr>
          <w:rFonts w:ascii="Arial" w:hAnsi="Arial" w:cs="Arial"/>
        </w:rPr>
        <w:t>epappersinstitutet</w:t>
      </w:r>
      <w:r w:rsidDel="00320C59">
        <w:rPr>
          <w:rFonts w:ascii="Arial" w:hAnsi="Arial" w:cs="Arial"/>
        </w:rPr>
        <w:t xml:space="preserve"> angivna </w:t>
      </w:r>
      <w:r w:rsidR="00C373DF" w:rsidDel="00320C59">
        <w:rPr>
          <w:rFonts w:ascii="Arial" w:hAnsi="Arial" w:cs="Arial"/>
        </w:rPr>
        <w:t>uppgifter gälla</w:t>
      </w:r>
      <w:r w:rsidR="00BE1E36" w:rsidDel="00320C59">
        <w:rPr>
          <w:rFonts w:ascii="Arial" w:hAnsi="Arial" w:cs="Arial"/>
        </w:rPr>
        <w:t>. Beträffande</w:t>
      </w:r>
      <w:r w:rsidR="003C4CE0" w:rsidDel="00320C59">
        <w:rPr>
          <w:rFonts w:ascii="Arial" w:hAnsi="Arial" w:cs="Arial"/>
        </w:rPr>
        <w:t xml:space="preserve"> olöst tvist avseende</w:t>
      </w:r>
      <w:r w:rsidR="00BE1E36" w:rsidDel="00320C59">
        <w:rPr>
          <w:rFonts w:ascii="Arial" w:hAnsi="Arial" w:cs="Arial"/>
        </w:rPr>
        <w:t xml:space="preserve"> </w:t>
      </w:r>
      <w:r w:rsidR="00C3565D" w:rsidDel="00320C59">
        <w:rPr>
          <w:rFonts w:ascii="Arial" w:hAnsi="Arial" w:cs="Arial"/>
        </w:rPr>
        <w:t>värderingsfrågor</w:t>
      </w:r>
      <w:r w:rsidR="0013603D" w:rsidDel="00320C59">
        <w:rPr>
          <w:rFonts w:ascii="Arial" w:hAnsi="Arial" w:cs="Arial"/>
        </w:rPr>
        <w:t xml:space="preserve"> </w:t>
      </w:r>
      <w:r w:rsidR="003C4CE0" w:rsidDel="00320C59">
        <w:rPr>
          <w:rFonts w:ascii="Arial" w:hAnsi="Arial" w:cs="Arial"/>
        </w:rPr>
        <w:t>gäller</w:t>
      </w:r>
      <w:r w:rsidR="00C3565D" w:rsidDel="00320C59">
        <w:rPr>
          <w:rFonts w:ascii="Arial" w:hAnsi="Arial" w:cs="Arial"/>
        </w:rPr>
        <w:t xml:space="preserve"> följande</w:t>
      </w:r>
      <w:r w:rsidR="00CA39F6" w:rsidDel="00320C59">
        <w:rPr>
          <w:rFonts w:ascii="Arial" w:hAnsi="Arial" w:cs="Arial"/>
        </w:rPr>
        <w:t>.</w:t>
      </w:r>
    </w:p>
    <w:p w14:paraId="14CD5843" w14:textId="77777777" w:rsidR="00320C59" w:rsidRDefault="00C3565D" w:rsidP="00320C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motparten har ifrågasatt av </w:t>
      </w:r>
      <w:r w:rsidR="00B72A40">
        <w:rPr>
          <w:rFonts w:ascii="Arial" w:hAnsi="Arial" w:cs="Arial"/>
        </w:rPr>
        <w:t>värdepappersinstitutet</w:t>
      </w:r>
      <w:r>
        <w:rPr>
          <w:rFonts w:ascii="Arial" w:hAnsi="Arial" w:cs="Arial"/>
        </w:rPr>
        <w:t xml:space="preserve"> angivna värden, </w:t>
      </w:r>
      <w:r w:rsidR="003C1566">
        <w:rPr>
          <w:rFonts w:ascii="Arial" w:hAnsi="Arial" w:cs="Arial"/>
        </w:rPr>
        <w:t>ska</w:t>
      </w:r>
      <w:r>
        <w:rPr>
          <w:rFonts w:ascii="Arial" w:hAnsi="Arial" w:cs="Arial"/>
        </w:rPr>
        <w:t xml:space="preserve"> </w:t>
      </w:r>
      <w:r w:rsidR="00B72A40">
        <w:rPr>
          <w:rFonts w:ascii="Arial" w:hAnsi="Arial" w:cs="Arial"/>
        </w:rPr>
        <w:t>institutet</w:t>
      </w:r>
      <w:r>
        <w:rPr>
          <w:rFonts w:ascii="Arial" w:hAnsi="Arial" w:cs="Arial"/>
        </w:rPr>
        <w:t xml:space="preserve"> inhämta </w:t>
      </w:r>
      <w:r w:rsidR="00275BEF">
        <w:rPr>
          <w:rFonts w:ascii="Arial" w:hAnsi="Arial" w:cs="Arial"/>
        </w:rPr>
        <w:t>värdeutlåtanden (quotes) från minst</w:t>
      </w:r>
      <w:r w:rsidR="003C1566">
        <w:rPr>
          <w:rFonts w:ascii="Arial" w:hAnsi="Arial" w:cs="Arial"/>
        </w:rPr>
        <w:t xml:space="preserve"> två och högst fyra</w:t>
      </w:r>
      <w:r w:rsidR="00823ABC">
        <w:rPr>
          <w:rFonts w:ascii="Arial" w:hAnsi="Arial" w:cs="Arial"/>
        </w:rPr>
        <w:t xml:space="preserve"> av part</w:t>
      </w:r>
      <w:r w:rsidR="0013603D">
        <w:rPr>
          <w:rFonts w:ascii="Arial" w:hAnsi="Arial" w:cs="Arial"/>
        </w:rPr>
        <w:t xml:space="preserve"> oberoende och</w:t>
      </w:r>
      <w:r w:rsidR="00275BEF">
        <w:rPr>
          <w:rFonts w:ascii="Arial" w:hAnsi="Arial" w:cs="Arial"/>
        </w:rPr>
        <w:t xml:space="preserve"> välrenommerade finansiella institut. Om dessa</w:t>
      </w:r>
      <w:r w:rsidR="0013603D">
        <w:rPr>
          <w:rFonts w:ascii="Arial" w:hAnsi="Arial" w:cs="Arial"/>
        </w:rPr>
        <w:t xml:space="preserve"> värde</w:t>
      </w:r>
      <w:r w:rsidR="003C1566">
        <w:rPr>
          <w:rFonts w:ascii="Arial" w:hAnsi="Arial" w:cs="Arial"/>
        </w:rPr>
        <w:t>n</w:t>
      </w:r>
      <w:r w:rsidR="00275BEF">
        <w:rPr>
          <w:rFonts w:ascii="Arial" w:hAnsi="Arial" w:cs="Arial"/>
        </w:rPr>
        <w:t xml:space="preserve"> per värderingsdagen i väsentlig mån avviker från av </w:t>
      </w:r>
      <w:r w:rsidR="00B72A40">
        <w:rPr>
          <w:rFonts w:ascii="Arial" w:hAnsi="Arial" w:cs="Arial"/>
        </w:rPr>
        <w:t xml:space="preserve">värdepappersinstitutet </w:t>
      </w:r>
      <w:r w:rsidR="00275BEF">
        <w:rPr>
          <w:rFonts w:ascii="Arial" w:hAnsi="Arial" w:cs="Arial"/>
        </w:rPr>
        <w:t xml:space="preserve">angivna omtvistade värden, ska ett genomsnitt av dessa gälla och </w:t>
      </w:r>
      <w:r w:rsidR="00B72A40">
        <w:rPr>
          <w:rFonts w:ascii="Arial" w:hAnsi="Arial" w:cs="Arial"/>
        </w:rPr>
        <w:t>institutet</w:t>
      </w:r>
      <w:r w:rsidR="00275BEF">
        <w:rPr>
          <w:rFonts w:ascii="Arial" w:hAnsi="Arial" w:cs="Arial"/>
        </w:rPr>
        <w:t xml:space="preserve"> ska stå kostnaden för värderingar</w:t>
      </w:r>
      <w:r w:rsidR="0013603D">
        <w:rPr>
          <w:rFonts w:ascii="Arial" w:hAnsi="Arial" w:cs="Arial"/>
        </w:rPr>
        <w:t>na</w:t>
      </w:r>
      <w:r w:rsidR="00275BEF">
        <w:rPr>
          <w:rFonts w:ascii="Arial" w:hAnsi="Arial" w:cs="Arial"/>
        </w:rPr>
        <w:t xml:space="preserve">. Om </w:t>
      </w:r>
      <w:r w:rsidR="00166DC0">
        <w:rPr>
          <w:rFonts w:ascii="Arial" w:hAnsi="Arial" w:cs="Arial"/>
        </w:rPr>
        <w:t>värdena</w:t>
      </w:r>
      <w:r w:rsidR="00275BEF">
        <w:rPr>
          <w:rFonts w:ascii="Arial" w:hAnsi="Arial" w:cs="Arial"/>
        </w:rPr>
        <w:t xml:space="preserve"> inte</w:t>
      </w:r>
      <w:r w:rsidR="0013603D">
        <w:rPr>
          <w:rFonts w:ascii="Arial" w:hAnsi="Arial" w:cs="Arial"/>
        </w:rPr>
        <w:t xml:space="preserve"> avviker på angivet sätt ska </w:t>
      </w:r>
      <w:r w:rsidR="00B72A40">
        <w:rPr>
          <w:rFonts w:ascii="Arial" w:hAnsi="Arial" w:cs="Arial"/>
        </w:rPr>
        <w:t>värdepappersinstitutets</w:t>
      </w:r>
      <w:r w:rsidR="0013603D">
        <w:rPr>
          <w:rFonts w:ascii="Arial" w:hAnsi="Arial" w:cs="Arial"/>
        </w:rPr>
        <w:t xml:space="preserve"> värderingar gälla och motparten i stället stå kostnaderna.</w:t>
      </w:r>
      <w:r w:rsidR="00275BEF">
        <w:rPr>
          <w:rFonts w:ascii="Arial" w:hAnsi="Arial" w:cs="Arial"/>
        </w:rPr>
        <w:t xml:space="preserve">    </w:t>
      </w:r>
    </w:p>
    <w:p w14:paraId="24BFCB66" w14:textId="77777777" w:rsidR="00C3565D" w:rsidRDefault="00275B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EABF59" w14:textId="77777777" w:rsidR="00162D4A" w:rsidRPr="00162D4A" w:rsidRDefault="00541D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Medling och s</w:t>
      </w:r>
      <w:r w:rsidR="00162D4A">
        <w:rPr>
          <w:rFonts w:ascii="Arial" w:hAnsi="Arial" w:cs="Arial"/>
          <w:b/>
        </w:rPr>
        <w:t>kiljeförfarande</w:t>
      </w:r>
    </w:p>
    <w:p w14:paraId="04BBBB7D" w14:textId="77777777" w:rsidR="00162D4A" w:rsidRDefault="009B29DE">
      <w:pPr>
        <w:rPr>
          <w:rFonts w:ascii="Arial" w:hAnsi="Arial" w:cs="Arial"/>
        </w:rPr>
      </w:pPr>
      <w:r w:rsidRPr="009B29DE">
        <w:rPr>
          <w:rFonts w:ascii="Arial" w:hAnsi="Arial" w:cs="Arial"/>
        </w:rPr>
        <w:t>Tvister som</w:t>
      </w:r>
      <w:r w:rsidR="00BE1E36">
        <w:rPr>
          <w:rFonts w:ascii="Arial" w:hAnsi="Arial" w:cs="Arial"/>
        </w:rPr>
        <w:t xml:space="preserve"> hänskjuts enligt detta regelverk</w:t>
      </w:r>
      <w:r w:rsidRPr="009B29DE">
        <w:rPr>
          <w:rFonts w:ascii="Arial" w:hAnsi="Arial" w:cs="Arial"/>
        </w:rPr>
        <w:t xml:space="preserve"> ska i första hand lösas genom medling enligt Reglerna för Stockholms Handelskammares Medlingsinstitut. </w:t>
      </w:r>
      <w:r w:rsidRPr="009B29DE">
        <w:rPr>
          <w:rFonts w:ascii="Arial" w:hAnsi="Arial" w:cs="Arial"/>
        </w:rPr>
        <w:br/>
      </w:r>
      <w:r w:rsidRPr="009B29DE">
        <w:rPr>
          <w:rFonts w:ascii="Arial" w:hAnsi="Arial" w:cs="Arial"/>
        </w:rPr>
        <w:br/>
        <w:t xml:space="preserve">Om tvisten inte kan lösas genom medling ska den slutligt avgöras genom skiljedomsförfarande administrerat av Stockholms Handelskammares Skiljedomsinstitut (SCC). </w:t>
      </w:r>
      <w:r w:rsidRPr="009B29DE">
        <w:rPr>
          <w:rFonts w:ascii="Arial" w:hAnsi="Arial" w:cs="Arial"/>
        </w:rPr>
        <w:br/>
      </w:r>
      <w:r w:rsidRPr="009B29DE">
        <w:rPr>
          <w:rFonts w:ascii="Arial" w:hAnsi="Arial" w:cs="Arial"/>
        </w:rPr>
        <w:br/>
        <w:t>Regler för Förenklat Skiljeförfarande ska tillämpas om inte SCC med beaktande av målets svårighetsgrad, tvisteföremålets värde och övriga omständigheter bestämmer att Skiljedomsregler ska tillämpas. I sistnämnda fall ska SCC också bestämma om skiljenämnden ska bestå av en eller tre skiljemän.</w:t>
      </w:r>
    </w:p>
    <w:p w14:paraId="31144B28" w14:textId="77777777" w:rsidR="00F31CB1" w:rsidRPr="00CF4D37" w:rsidRDefault="009B29DE">
      <w:pPr>
        <w:rPr>
          <w:rFonts w:ascii="Arial" w:hAnsi="Arial" w:cs="Arial"/>
        </w:rPr>
      </w:pPr>
      <w:r w:rsidRPr="009B29DE">
        <w:rPr>
          <w:rFonts w:ascii="Arial" w:hAnsi="Arial" w:cs="Arial"/>
        </w:rPr>
        <w:t>Skiljeförfarandets säte ska vara i Stockholm. Språket för förfarandet ska vara svenska. Svensk lag ska tillämpas på tvisten.</w:t>
      </w:r>
      <w:r w:rsidR="00541DAD">
        <w:rPr>
          <w:rFonts w:ascii="Arial" w:hAnsi="Arial" w:cs="Arial"/>
        </w:rPr>
        <w:t xml:space="preserve"> När flera skiljemän deltar i avgörandet ska rättegångsbalkens omröstningsregler för tvistemål tillämpas.</w:t>
      </w:r>
    </w:p>
    <w:sectPr w:rsidR="00F31CB1" w:rsidRPr="00CF4D37" w:rsidSect="0016782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06400" w14:textId="77777777" w:rsidR="004B5ED9" w:rsidRDefault="004B5ED9" w:rsidP="00C373DF">
      <w:pPr>
        <w:spacing w:after="0" w:line="240" w:lineRule="auto"/>
      </w:pPr>
      <w:r>
        <w:separator/>
      </w:r>
    </w:p>
  </w:endnote>
  <w:endnote w:type="continuationSeparator" w:id="0">
    <w:p w14:paraId="581E0E03" w14:textId="77777777" w:rsidR="004B5ED9" w:rsidRDefault="004B5ED9" w:rsidP="00C3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07B5" w14:textId="77777777" w:rsidR="00166DC0" w:rsidRDefault="00823957">
    <w:pPr>
      <w:pStyle w:val="Sidfot"/>
      <w:jc w:val="right"/>
    </w:pPr>
    <w:r>
      <w:fldChar w:fldCharType="begin"/>
    </w:r>
    <w:r w:rsidR="00FB2D63">
      <w:instrText xml:space="preserve"> PAGE   \* MERGEFORMAT </w:instrText>
    </w:r>
    <w:r>
      <w:fldChar w:fldCharType="separate"/>
    </w:r>
    <w:r w:rsidR="005B47AF">
      <w:rPr>
        <w:noProof/>
      </w:rPr>
      <w:t>2</w:t>
    </w:r>
    <w:r>
      <w:rPr>
        <w:noProof/>
      </w:rPr>
      <w:fldChar w:fldCharType="end"/>
    </w:r>
  </w:p>
  <w:p w14:paraId="52E86E7D" w14:textId="77777777" w:rsidR="00166DC0" w:rsidRDefault="00166DC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7271" w14:textId="77777777" w:rsidR="004B5ED9" w:rsidRDefault="004B5ED9" w:rsidP="00C373DF">
      <w:pPr>
        <w:spacing w:after="0" w:line="240" w:lineRule="auto"/>
      </w:pPr>
      <w:r>
        <w:separator/>
      </w:r>
    </w:p>
  </w:footnote>
  <w:footnote w:type="continuationSeparator" w:id="0">
    <w:p w14:paraId="608BD7A4" w14:textId="77777777" w:rsidR="004B5ED9" w:rsidRDefault="004B5ED9" w:rsidP="00C373DF">
      <w:pPr>
        <w:spacing w:after="0" w:line="240" w:lineRule="auto"/>
      </w:pPr>
      <w:r>
        <w:continuationSeparator/>
      </w:r>
    </w:p>
  </w:footnote>
  <w:footnote w:id="1">
    <w:p w14:paraId="38A626C1" w14:textId="77777777" w:rsidR="00DE1FBB" w:rsidRDefault="00DE1FBB">
      <w:pPr>
        <w:pStyle w:val="Fotnotstext"/>
      </w:pPr>
      <w:r>
        <w:rPr>
          <w:rStyle w:val="Fotnotsreferens"/>
        </w:rPr>
        <w:footnoteRef/>
      </w:r>
      <w:r>
        <w:t xml:space="preserve"> EC/648/2012 om OTC-derivat, centrala motparter och transaktionsregister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B1"/>
    <w:rsid w:val="00013198"/>
    <w:rsid w:val="00017FD9"/>
    <w:rsid w:val="000270AF"/>
    <w:rsid w:val="00031E3A"/>
    <w:rsid w:val="0004167C"/>
    <w:rsid w:val="00043A74"/>
    <w:rsid w:val="001159CF"/>
    <w:rsid w:val="0013603D"/>
    <w:rsid w:val="00162D4A"/>
    <w:rsid w:val="00166DC0"/>
    <w:rsid w:val="00167829"/>
    <w:rsid w:val="001707CC"/>
    <w:rsid w:val="00254EF6"/>
    <w:rsid w:val="00275BEF"/>
    <w:rsid w:val="00320C59"/>
    <w:rsid w:val="00327165"/>
    <w:rsid w:val="003475FF"/>
    <w:rsid w:val="003771FF"/>
    <w:rsid w:val="00396FB5"/>
    <w:rsid w:val="003A2326"/>
    <w:rsid w:val="003A4309"/>
    <w:rsid w:val="003C1566"/>
    <w:rsid w:val="003C4CE0"/>
    <w:rsid w:val="003F7FFB"/>
    <w:rsid w:val="00426101"/>
    <w:rsid w:val="004874AB"/>
    <w:rsid w:val="004B3C54"/>
    <w:rsid w:val="004B5ED9"/>
    <w:rsid w:val="00514CCC"/>
    <w:rsid w:val="00531890"/>
    <w:rsid w:val="00541DAD"/>
    <w:rsid w:val="00552D83"/>
    <w:rsid w:val="005B47AF"/>
    <w:rsid w:val="005E5B61"/>
    <w:rsid w:val="00627D51"/>
    <w:rsid w:val="0065584E"/>
    <w:rsid w:val="0069467F"/>
    <w:rsid w:val="006A77EC"/>
    <w:rsid w:val="006B57B9"/>
    <w:rsid w:val="00794CF7"/>
    <w:rsid w:val="007B727B"/>
    <w:rsid w:val="007E09FB"/>
    <w:rsid w:val="00823957"/>
    <w:rsid w:val="00823ABC"/>
    <w:rsid w:val="00852BDC"/>
    <w:rsid w:val="008A1A5E"/>
    <w:rsid w:val="008D46B7"/>
    <w:rsid w:val="00914DD2"/>
    <w:rsid w:val="009610A6"/>
    <w:rsid w:val="009A7F09"/>
    <w:rsid w:val="009B29DE"/>
    <w:rsid w:val="009D7B8D"/>
    <w:rsid w:val="009E01FF"/>
    <w:rsid w:val="00A41A3A"/>
    <w:rsid w:val="00A636F1"/>
    <w:rsid w:val="00A96921"/>
    <w:rsid w:val="00AF015D"/>
    <w:rsid w:val="00B556B1"/>
    <w:rsid w:val="00B674DF"/>
    <w:rsid w:val="00B72A40"/>
    <w:rsid w:val="00BE1E36"/>
    <w:rsid w:val="00BE2E5E"/>
    <w:rsid w:val="00C26B05"/>
    <w:rsid w:val="00C3565D"/>
    <w:rsid w:val="00C373DF"/>
    <w:rsid w:val="00C51A2B"/>
    <w:rsid w:val="00C60266"/>
    <w:rsid w:val="00CA39F6"/>
    <w:rsid w:val="00CC73F6"/>
    <w:rsid w:val="00CF2ADE"/>
    <w:rsid w:val="00CF4D37"/>
    <w:rsid w:val="00D34183"/>
    <w:rsid w:val="00D41179"/>
    <w:rsid w:val="00D627ED"/>
    <w:rsid w:val="00D66DBB"/>
    <w:rsid w:val="00DD5CE6"/>
    <w:rsid w:val="00DE1FBB"/>
    <w:rsid w:val="00E06934"/>
    <w:rsid w:val="00EE417B"/>
    <w:rsid w:val="00F31CB1"/>
    <w:rsid w:val="00F77A47"/>
    <w:rsid w:val="00F92CAE"/>
    <w:rsid w:val="00F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0D86"/>
  <w15:docId w15:val="{B4AC7DB2-2A49-4BE9-8712-9D725B0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2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C373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C373DF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373D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373DF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3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A39F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B72A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2A4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B72A4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2A4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72A40"/>
    <w:rPr>
      <w:b/>
      <w:bCs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E1FBB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DE1FBB"/>
    <w:rPr>
      <w:lang w:eastAsia="en-US"/>
    </w:rPr>
  </w:style>
  <w:style w:type="character" w:styleId="Fotnotsreferens">
    <w:name w:val="footnote reference"/>
    <w:uiPriority w:val="99"/>
    <w:semiHidden/>
    <w:unhideWhenUsed/>
    <w:rsid w:val="00DE1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ED30-25F4-4CF1-B255-FC2588C6A0E3}"/>
</file>

<file path=customXml/itemProps2.xml><?xml version="1.0" encoding="utf-8"?>
<ds:datastoreItem xmlns:ds="http://schemas.openxmlformats.org/officeDocument/2006/customXml" ds:itemID="{8DB0D1A9-3B9A-4725-9CB3-051C32973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FA984-8644-4D8B-AD3E-7EAE1DFAB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EF1E06-9AF7-44D6-B5B4-3F094C15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p901cbu</dc:creator>
  <cp:lastModifiedBy>Enel Lundblad</cp:lastModifiedBy>
  <cp:revision>2</cp:revision>
  <cp:lastPrinted>2013-07-05T11:48:00Z</cp:lastPrinted>
  <dcterms:created xsi:type="dcterms:W3CDTF">2020-09-17T11:51:00Z</dcterms:created>
  <dcterms:modified xsi:type="dcterms:W3CDTF">2020-09-17T11:51:00Z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