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89FC1" w14:textId="77777777" w:rsidR="008B054A" w:rsidRPr="008B054A" w:rsidRDefault="008B054A" w:rsidP="008B054A">
      <w:pPr>
        <w:pStyle w:val="Rubrik1"/>
        <w:rPr>
          <w:lang w:val="sv-SE"/>
        </w:rPr>
      </w:pPr>
      <w:bookmarkStart w:id="0" w:name="_GoBack"/>
      <w:bookmarkEnd w:id="0"/>
      <w:r w:rsidRPr="008B054A">
        <w:rPr>
          <w:lang w:val="sv-SE"/>
        </w:rPr>
        <w:t xml:space="preserve">Tilläggsskrivningar för produktstyrningskrav enligt </w:t>
      </w:r>
      <w:proofErr w:type="spellStart"/>
      <w:r w:rsidRPr="008B054A">
        <w:rPr>
          <w:lang w:val="sv-SE"/>
        </w:rPr>
        <w:t>MiFID</w:t>
      </w:r>
      <w:proofErr w:type="spellEnd"/>
      <w:r w:rsidRPr="008B054A">
        <w:rPr>
          <w:lang w:val="sv-SE"/>
        </w:rPr>
        <w:t xml:space="preserve"> II </w:t>
      </w:r>
    </w:p>
    <w:p w14:paraId="46057519" w14:textId="77777777" w:rsidR="008B054A" w:rsidRDefault="008B054A" w:rsidP="008B054A">
      <w:pPr>
        <w:pStyle w:val="Rubrik2"/>
        <w:rPr>
          <w:lang w:val="sv-SE"/>
        </w:rPr>
      </w:pPr>
      <w:r w:rsidRPr="008B054A">
        <w:rPr>
          <w:lang w:val="sv-SE"/>
        </w:rPr>
        <w:t>Text som kan inkluderas i exempelvis inledningen av ett MTN-prospekt</w:t>
      </w:r>
    </w:p>
    <w:p w14:paraId="5A6A0C95" w14:textId="77777777" w:rsidR="007C6D55" w:rsidRPr="006577C6" w:rsidRDefault="007C6D55" w:rsidP="007C6D55">
      <w:pPr>
        <w:rPr>
          <w:szCs w:val="22"/>
          <w:lang w:val="sv-SE"/>
        </w:rPr>
      </w:pPr>
      <w:r>
        <w:rPr>
          <w:lang w:val="sv-SE"/>
        </w:rPr>
        <w:t xml:space="preserve">samtycker Svenska Fondhandlareföreningen att detta dokument används och återskapas i samband med emissioner av obligationer. Föreningen medger ej att dokumentet används på något annat sätt eller distribueras för något annat ändamål och reserverar förbehållslöst alla andra rättigheter till dokumentet.  </w:t>
      </w:r>
    </w:p>
    <w:p w14:paraId="31719B6D" w14:textId="77777777" w:rsidR="008B054A" w:rsidRPr="008B054A" w:rsidRDefault="008B054A" w:rsidP="008B054A">
      <w:pPr>
        <w:rPr>
          <w:lang w:val="sv-SE"/>
        </w:rPr>
      </w:pPr>
      <w:r w:rsidRPr="008B054A">
        <w:rPr>
          <w:lang w:val="sv-SE"/>
        </w:rPr>
        <w:t>De slutliga villkoren</w:t>
      </w:r>
      <w:r>
        <w:rPr>
          <w:rStyle w:val="Fotnotsreferens"/>
        </w:rPr>
        <w:footnoteReference w:id="1"/>
      </w:r>
      <w:r w:rsidRPr="008B054A">
        <w:rPr>
          <w:lang w:val="sv-SE"/>
        </w:rPr>
        <w:t xml:space="preserve"> för [Obligationerna] kommer att innehålla en målmarknadsbedömning samt lämpliga distributionskanaler för [Obligationerna]. En person som senare erbjuder, säljer eller rekommenderar [Obligationerna] (en ”</w:t>
      </w:r>
      <w:r w:rsidRPr="008B054A">
        <w:rPr>
          <w:b/>
          <w:lang w:val="sv-SE"/>
        </w:rPr>
        <w:t>distributör</w:t>
      </w:r>
      <w:r w:rsidRPr="008B054A">
        <w:rPr>
          <w:lang w:val="sv-SE"/>
        </w:rPr>
        <w:t>”)</w:t>
      </w:r>
      <w:r w:rsidRPr="008B054A">
        <w:rPr>
          <w:b/>
          <w:lang w:val="sv-SE"/>
        </w:rPr>
        <w:t xml:space="preserve"> </w:t>
      </w:r>
      <w:r w:rsidRPr="008B054A">
        <w:rPr>
          <w:lang w:val="sv-SE"/>
        </w:rPr>
        <w:t>bör beakta målmarknadsbedömningen. En distributör som träffas av [direktiv 2014/65/EU (”</w:t>
      </w:r>
      <w:proofErr w:type="spellStart"/>
      <w:r w:rsidRPr="008B054A">
        <w:rPr>
          <w:b/>
          <w:lang w:val="sv-SE"/>
        </w:rPr>
        <w:t>MiFID</w:t>
      </w:r>
      <w:proofErr w:type="spellEnd"/>
      <w:r w:rsidRPr="008B054A">
        <w:rPr>
          <w:b/>
          <w:lang w:val="sv-SE"/>
        </w:rPr>
        <w:t xml:space="preserve"> II</w:t>
      </w:r>
      <w:proofErr w:type="gramStart"/>
      <w:r w:rsidRPr="008B054A">
        <w:rPr>
          <w:lang w:val="sv-SE"/>
        </w:rPr>
        <w:t>”)/</w:t>
      </w:r>
      <w:proofErr w:type="spellStart"/>
      <w:proofErr w:type="gramEnd"/>
      <w:r w:rsidRPr="008B054A">
        <w:rPr>
          <w:lang w:val="sv-SE"/>
        </w:rPr>
        <w:t>MiFID</w:t>
      </w:r>
      <w:proofErr w:type="spellEnd"/>
      <w:r w:rsidRPr="008B054A">
        <w:rPr>
          <w:lang w:val="sv-SE"/>
        </w:rPr>
        <w:t xml:space="preserve"> II] är dock skyldig att genomföra sin egen målmarknadsbedömning för [Obligationerna] (genom att antingen tillämpa eller anpassa producentens målmarknadsbedömning) och att fastställa lämpliga distributionskanaler.</w:t>
      </w:r>
    </w:p>
    <w:p w14:paraId="6E6482A1" w14:textId="77777777" w:rsidR="008B054A" w:rsidRPr="008B054A" w:rsidRDefault="008B054A" w:rsidP="008B054A">
      <w:pPr>
        <w:rPr>
          <w:lang w:val="sv-SE"/>
        </w:rPr>
      </w:pPr>
      <w:r w:rsidRPr="008B054A">
        <w:rPr>
          <w:lang w:val="sv-SE"/>
        </w:rPr>
        <w:t xml:space="preserve">Enligt </w:t>
      </w:r>
      <w:proofErr w:type="spellStart"/>
      <w:r w:rsidRPr="008B054A">
        <w:rPr>
          <w:lang w:val="sv-SE"/>
        </w:rPr>
        <w:t>MiFID:s</w:t>
      </w:r>
      <w:proofErr w:type="spellEnd"/>
      <w:r w:rsidRPr="008B054A">
        <w:rPr>
          <w:lang w:val="sv-SE"/>
        </w:rPr>
        <w:t xml:space="preserve"> produktstyrningskrav under det delegerade direktivet 2017/593 (”</w:t>
      </w:r>
      <w:proofErr w:type="spellStart"/>
      <w:r w:rsidRPr="008B054A">
        <w:rPr>
          <w:b/>
          <w:lang w:val="sv-SE"/>
        </w:rPr>
        <w:t>MiFID:s</w:t>
      </w:r>
      <w:proofErr w:type="spellEnd"/>
      <w:r w:rsidRPr="008B054A">
        <w:rPr>
          <w:b/>
          <w:lang w:val="sv-SE"/>
        </w:rPr>
        <w:t xml:space="preserve"> produktstyrningskrav</w:t>
      </w:r>
      <w:r w:rsidRPr="008B054A">
        <w:rPr>
          <w:lang w:val="sv-SE"/>
        </w:rPr>
        <w:t xml:space="preserve">”), ska det i förhållande till varje emission fastställas huruvida Arrangören eller någon Handlare (Eng: </w:t>
      </w:r>
      <w:r w:rsidRPr="008B054A">
        <w:rPr>
          <w:i/>
          <w:lang w:val="sv-SE"/>
        </w:rPr>
        <w:t>Dealer</w:t>
      </w:r>
      <w:r w:rsidRPr="008B054A">
        <w:rPr>
          <w:lang w:val="sv-SE"/>
        </w:rPr>
        <w:t>) som medverkar vid emissionen av [Obligationerna] är en producent av sådana [Obligationer].</w:t>
      </w:r>
      <w:r>
        <w:rPr>
          <w:rStyle w:val="Fotnotsreferens"/>
        </w:rPr>
        <w:footnoteReference w:id="2"/>
      </w:r>
      <w:r w:rsidRPr="008B054A">
        <w:rPr>
          <w:lang w:val="sv-SE"/>
        </w:rPr>
        <w:t xml:space="preserve"> Varken Arrangören, Handlarna eller någon av deras respektive dotterbolag som inte medverkar vid en emission, kommer att anses vara producenter enligt </w:t>
      </w:r>
      <w:proofErr w:type="spellStart"/>
      <w:r w:rsidRPr="008B054A">
        <w:rPr>
          <w:lang w:val="sv-SE"/>
        </w:rPr>
        <w:t>MiFID:s</w:t>
      </w:r>
      <w:proofErr w:type="spellEnd"/>
      <w:r w:rsidRPr="008B054A">
        <w:rPr>
          <w:lang w:val="sv-SE"/>
        </w:rPr>
        <w:t xml:space="preserve"> produktstyrningskrav. </w:t>
      </w:r>
    </w:p>
    <w:p w14:paraId="20F4591F" w14:textId="77777777" w:rsidR="008B054A" w:rsidRPr="008B054A" w:rsidRDefault="008B054A" w:rsidP="008B054A">
      <w:pPr>
        <w:pStyle w:val="Rubrik2"/>
        <w:rPr>
          <w:lang w:val="sv-SE"/>
        </w:rPr>
      </w:pPr>
      <w:r w:rsidRPr="008B054A">
        <w:rPr>
          <w:lang w:val="sv-SE"/>
        </w:rPr>
        <w:lastRenderedPageBreak/>
        <w:t>Text som kan inkluderas i exempelvis separata avtal mellan handlarna, investerarpresentationer, slutliga villkor eller i prospekt för en fristående emission</w:t>
      </w:r>
    </w:p>
    <w:p w14:paraId="590BACD6" w14:textId="77777777" w:rsidR="008B054A" w:rsidRPr="008B054A" w:rsidRDefault="008B054A" w:rsidP="008B054A">
      <w:pPr>
        <w:pStyle w:val="Rubrik3"/>
        <w:rPr>
          <w:lang w:val="sv-SE"/>
        </w:rPr>
      </w:pPr>
      <w:r w:rsidRPr="008B054A">
        <w:rPr>
          <w:lang w:val="sv-SE"/>
        </w:rPr>
        <w:t xml:space="preserve">Målmarknad: </w:t>
      </w:r>
      <w:r w:rsidRPr="008B054A">
        <w:rPr>
          <w:i/>
          <w:lang w:val="sv-SE"/>
        </w:rPr>
        <w:t>endast professionella kunder och jämbördiga motparter</w:t>
      </w:r>
    </w:p>
    <w:p w14:paraId="2FF27EE3" w14:textId="77777777" w:rsidR="008B054A" w:rsidRPr="008B054A" w:rsidRDefault="008B054A" w:rsidP="008B054A">
      <w:pPr>
        <w:rPr>
          <w:lang w:val="sv-SE"/>
        </w:rPr>
      </w:pPr>
      <w:r w:rsidRPr="008B054A">
        <w:rPr>
          <w:lang w:val="sv-SE"/>
        </w:rPr>
        <w:t>Vid tillämpningen av produktstyrningskraven enligt [direktiv 2014/65/EU (”</w:t>
      </w:r>
      <w:proofErr w:type="spellStart"/>
      <w:r w:rsidRPr="008B054A">
        <w:rPr>
          <w:b/>
          <w:lang w:val="sv-SE"/>
        </w:rPr>
        <w:t>MiFID</w:t>
      </w:r>
      <w:proofErr w:type="spellEnd"/>
      <w:r w:rsidRPr="008B054A">
        <w:rPr>
          <w:b/>
          <w:lang w:val="sv-SE"/>
        </w:rPr>
        <w:t xml:space="preserve"> II</w:t>
      </w:r>
      <w:r w:rsidRPr="008B054A">
        <w:rPr>
          <w:lang w:val="sv-SE"/>
        </w:rPr>
        <w:t>”)</w:t>
      </w:r>
      <w:r w:rsidRPr="008B054A">
        <w:rPr>
          <w:b/>
          <w:lang w:val="sv-SE"/>
        </w:rPr>
        <w:t>/</w:t>
      </w:r>
      <w:proofErr w:type="spellStart"/>
      <w:r w:rsidRPr="008B054A">
        <w:rPr>
          <w:lang w:val="sv-SE"/>
        </w:rPr>
        <w:t>MiFID</w:t>
      </w:r>
      <w:proofErr w:type="spellEnd"/>
      <w:r w:rsidRPr="008B054A">
        <w:rPr>
          <w:lang w:val="sv-SE"/>
        </w:rPr>
        <w:t xml:space="preserve"> II], har producent[ens/</w:t>
      </w:r>
      <w:proofErr w:type="spellStart"/>
      <w:r w:rsidRPr="008B054A">
        <w:rPr>
          <w:lang w:val="sv-SE"/>
        </w:rPr>
        <w:t>ernas</w:t>
      </w:r>
      <w:proofErr w:type="spellEnd"/>
      <w:r w:rsidRPr="008B054A">
        <w:rPr>
          <w:lang w:val="sv-SE"/>
        </w:rPr>
        <w:t xml:space="preserve">] målmarknadsbedömning för [Obligationerna] lett till följande slutsats: (i) målmarknaden för [Obligationerna] är endast jämbördiga motparter och professionella kunder såsom definierade i </w:t>
      </w:r>
      <w:proofErr w:type="spellStart"/>
      <w:r w:rsidRPr="008B054A">
        <w:rPr>
          <w:lang w:val="sv-SE"/>
        </w:rPr>
        <w:t>MiFID</w:t>
      </w:r>
      <w:proofErr w:type="spellEnd"/>
      <w:r w:rsidRPr="008B054A">
        <w:rPr>
          <w:lang w:val="sv-SE"/>
        </w:rPr>
        <w:t xml:space="preserve"> II; (ii) [den negativa målmarknaden för [Obligationerna] är klienter som söker fullständigt kapitalskydd eller fullständig återbetalning av det investerade beloppet, är helt </w:t>
      </w:r>
      <w:proofErr w:type="spellStart"/>
      <w:r w:rsidRPr="008B054A">
        <w:rPr>
          <w:lang w:val="sv-SE"/>
        </w:rPr>
        <w:t>riskaverta</w:t>
      </w:r>
      <w:proofErr w:type="spellEnd"/>
      <w:r w:rsidRPr="008B054A">
        <w:rPr>
          <w:lang w:val="sv-SE"/>
        </w:rPr>
        <w:t>/saknar risktolerans eller behöver en fullständigt garanterad inkomst eller en helt förutsägbar avkastningsprofil; och (iii)]</w:t>
      </w:r>
      <w:r>
        <w:rPr>
          <w:rStyle w:val="Fotnotsreferens"/>
        </w:rPr>
        <w:footnoteReference w:id="3"/>
      </w:r>
      <w:r w:rsidRPr="008B054A">
        <w:rPr>
          <w:lang w:val="sv-SE"/>
        </w:rPr>
        <w:t xml:space="preserve"> alla distributionskanaler för [Obligationerna] till jämbördiga motparter och professionella kunder är lämpliga. Någon som senare erbjuder, säljer eller rekommenderar [Obligationerna] (en ”</w:t>
      </w:r>
      <w:r w:rsidRPr="008B054A">
        <w:rPr>
          <w:b/>
          <w:lang w:val="sv-SE"/>
        </w:rPr>
        <w:t>distributör</w:t>
      </w:r>
      <w:r w:rsidRPr="008B054A">
        <w:rPr>
          <w:lang w:val="sv-SE"/>
        </w:rPr>
        <w:t>”) ska beakta producent[ens/</w:t>
      </w:r>
      <w:proofErr w:type="spellStart"/>
      <w:r w:rsidRPr="008B054A">
        <w:rPr>
          <w:lang w:val="sv-SE"/>
        </w:rPr>
        <w:t>ernas</w:t>
      </w:r>
      <w:proofErr w:type="spellEnd"/>
      <w:r w:rsidRPr="008B054A">
        <w:rPr>
          <w:lang w:val="sv-SE"/>
        </w:rPr>
        <w:t xml:space="preserve">] målmarknadsbedömning. En distributör som träffas av </w:t>
      </w:r>
      <w:proofErr w:type="spellStart"/>
      <w:r w:rsidRPr="008B054A">
        <w:rPr>
          <w:lang w:val="sv-SE"/>
        </w:rPr>
        <w:t>MiFID</w:t>
      </w:r>
      <w:proofErr w:type="spellEnd"/>
      <w:r w:rsidRPr="008B054A">
        <w:rPr>
          <w:lang w:val="sv-SE"/>
        </w:rPr>
        <w:t xml:space="preserve"> II är dock skyldig att genomföra sin egen målmarknadsbedömning av [Obligationerna] (genom att antingen använda eller anpassa producent[ens/</w:t>
      </w:r>
      <w:proofErr w:type="spellStart"/>
      <w:r w:rsidRPr="008B054A">
        <w:rPr>
          <w:lang w:val="sv-SE"/>
        </w:rPr>
        <w:t>ernas</w:t>
      </w:r>
      <w:proofErr w:type="spellEnd"/>
      <w:r w:rsidRPr="008B054A">
        <w:rPr>
          <w:lang w:val="sv-SE"/>
        </w:rPr>
        <w:t xml:space="preserve">] målmarknadsbedömning) och att fastställa lämpliga distributionskanaler. </w:t>
      </w:r>
    </w:p>
    <w:p w14:paraId="04FA8896" w14:textId="77777777" w:rsidR="008B054A" w:rsidRDefault="008B054A" w:rsidP="008B054A">
      <w:pPr>
        <w:rPr>
          <w:b/>
        </w:rPr>
      </w:pPr>
      <w:r>
        <w:rPr>
          <w:b/>
        </w:rPr>
        <w:t>[ELLER]</w:t>
      </w:r>
    </w:p>
    <w:p w14:paraId="1A5685DC" w14:textId="77777777" w:rsidR="008B054A" w:rsidRPr="008B054A" w:rsidRDefault="008B054A" w:rsidP="008B054A">
      <w:pPr>
        <w:pStyle w:val="Rubrik3"/>
        <w:rPr>
          <w:lang w:val="sv-SE"/>
        </w:rPr>
      </w:pPr>
      <w:r w:rsidRPr="008B054A">
        <w:rPr>
          <w:lang w:val="sv-SE"/>
        </w:rPr>
        <w:t>Målmarknad: icke-professionella kunder, professionella kunder och jämbördiga motparter</w:t>
      </w:r>
    </w:p>
    <w:p w14:paraId="045A1893" w14:textId="77777777" w:rsidR="008B054A" w:rsidRPr="008B054A" w:rsidRDefault="008B054A" w:rsidP="008B054A">
      <w:pPr>
        <w:rPr>
          <w:lang w:val="sv-SE"/>
        </w:rPr>
      </w:pPr>
      <w:r w:rsidRPr="008B054A">
        <w:rPr>
          <w:lang w:val="sv-SE"/>
        </w:rPr>
        <w:t>Vid tillämpningen av produktstyrningskraven enligt [direktiv 2014/65/EU (”</w:t>
      </w:r>
      <w:proofErr w:type="spellStart"/>
      <w:r w:rsidRPr="008B054A">
        <w:rPr>
          <w:b/>
          <w:lang w:val="sv-SE"/>
        </w:rPr>
        <w:t>MiFID</w:t>
      </w:r>
      <w:proofErr w:type="spellEnd"/>
      <w:r w:rsidRPr="008B054A">
        <w:rPr>
          <w:b/>
          <w:lang w:val="sv-SE"/>
        </w:rPr>
        <w:t xml:space="preserve"> II</w:t>
      </w:r>
      <w:r w:rsidRPr="008B054A">
        <w:rPr>
          <w:lang w:val="sv-SE"/>
        </w:rPr>
        <w:t>”)/</w:t>
      </w:r>
      <w:proofErr w:type="spellStart"/>
      <w:r w:rsidRPr="008B054A">
        <w:rPr>
          <w:lang w:val="sv-SE"/>
        </w:rPr>
        <w:t>MiFID</w:t>
      </w:r>
      <w:proofErr w:type="spellEnd"/>
      <w:r w:rsidRPr="008B054A">
        <w:rPr>
          <w:lang w:val="sv-SE"/>
        </w:rPr>
        <w:t xml:space="preserve"> II], har producent[en/</w:t>
      </w:r>
      <w:proofErr w:type="spellStart"/>
      <w:r w:rsidRPr="008B054A">
        <w:rPr>
          <w:lang w:val="sv-SE"/>
        </w:rPr>
        <w:t>erna</w:t>
      </w:r>
      <w:proofErr w:type="spellEnd"/>
      <w:r w:rsidRPr="008B054A">
        <w:rPr>
          <w:lang w:val="sv-SE"/>
        </w:rPr>
        <w:t>] gjort en bedömning avseende [Obligationernas] målmarknad och fastställt att målmarknaden för [Obligationerna] är:</w:t>
      </w:r>
      <w:r>
        <w:rPr>
          <w:rStyle w:val="Fotnotsreferens"/>
        </w:rPr>
        <w:footnoteReference w:id="4"/>
      </w:r>
      <w:r w:rsidRPr="008B054A">
        <w:rPr>
          <w:vertAlign w:val="superscript"/>
          <w:lang w:val="sv-SE"/>
        </w:rPr>
        <w:t>,</w:t>
      </w:r>
      <w:r>
        <w:rPr>
          <w:rStyle w:val="Fotnotsreferens"/>
        </w:rPr>
        <w:footnoteReference w:id="5"/>
      </w:r>
    </w:p>
    <w:p w14:paraId="0F6D761A" w14:textId="77777777" w:rsidR="008B054A" w:rsidRPr="008B054A" w:rsidRDefault="008B054A" w:rsidP="008B054A">
      <w:pPr>
        <w:pStyle w:val="Listlevel1aAlt5"/>
        <w:numPr>
          <w:ilvl w:val="0"/>
          <w:numId w:val="20"/>
        </w:numPr>
        <w:rPr>
          <w:lang w:val="sv-SE"/>
        </w:rPr>
      </w:pPr>
      <w:r w:rsidRPr="008B054A">
        <w:rPr>
          <w:i/>
          <w:lang w:val="sv-SE"/>
        </w:rPr>
        <w:lastRenderedPageBreak/>
        <w:t>Typ av kund</w:t>
      </w:r>
      <w:r>
        <w:rPr>
          <w:rStyle w:val="Fotnotsreferens"/>
          <w:i/>
        </w:rPr>
        <w:footnoteReference w:id="6"/>
      </w:r>
      <w:r w:rsidRPr="008B054A">
        <w:rPr>
          <w:lang w:val="sv-SE"/>
        </w:rPr>
        <w:t>:</w:t>
      </w:r>
      <w:r w:rsidRPr="008B054A">
        <w:rPr>
          <w:i/>
          <w:lang w:val="sv-SE"/>
        </w:rPr>
        <w:t xml:space="preserve"> </w:t>
      </w:r>
      <w:r w:rsidRPr="008B054A">
        <w:rPr>
          <w:lang w:val="sv-SE"/>
        </w:rPr>
        <w:t xml:space="preserve">Kunder som är jämbördiga motparter, professionella kunder och icke-professionella kunder enligt definitionen i </w:t>
      </w:r>
      <w:proofErr w:type="spellStart"/>
      <w:r w:rsidRPr="008B054A">
        <w:rPr>
          <w:lang w:val="sv-SE"/>
        </w:rPr>
        <w:t>MiFID</w:t>
      </w:r>
      <w:proofErr w:type="spellEnd"/>
      <w:r w:rsidRPr="008B054A">
        <w:rPr>
          <w:lang w:val="sv-SE"/>
        </w:rPr>
        <w:t xml:space="preserve"> II. </w:t>
      </w:r>
    </w:p>
    <w:p w14:paraId="75588DD9" w14:textId="77777777" w:rsidR="008B054A" w:rsidRPr="008B054A" w:rsidRDefault="008B054A" w:rsidP="008B054A">
      <w:pPr>
        <w:pStyle w:val="Listlevel1aAlt5"/>
        <w:numPr>
          <w:ilvl w:val="0"/>
          <w:numId w:val="20"/>
        </w:numPr>
        <w:rPr>
          <w:lang w:val="sv-SE"/>
        </w:rPr>
      </w:pPr>
      <w:r w:rsidRPr="008B054A">
        <w:rPr>
          <w:i/>
          <w:lang w:val="sv-SE"/>
        </w:rPr>
        <w:t>Kunskap och erfarenhet</w:t>
      </w:r>
      <w:r>
        <w:rPr>
          <w:rStyle w:val="Fotnotsreferens"/>
          <w:i/>
        </w:rPr>
        <w:footnoteReference w:id="7"/>
      </w:r>
      <w:r w:rsidRPr="008B054A">
        <w:rPr>
          <w:lang w:val="sv-SE"/>
        </w:rPr>
        <w:t>: [Kunder som är osofistikerade investerare [(</w:t>
      </w:r>
      <w:r w:rsidRPr="008B054A">
        <w:rPr>
          <w:i/>
          <w:lang w:val="sv-SE"/>
        </w:rPr>
        <w:t>dvs.</w:t>
      </w:r>
      <w:r w:rsidRPr="008B054A">
        <w:rPr>
          <w:lang w:val="sv-SE"/>
        </w:rPr>
        <w:t xml:space="preserve"> kunder som har grundläggande kunskap av obligationer och kreditmarknaden och [ingen] erfarenhet av finansiella marknader)].]</w:t>
      </w:r>
    </w:p>
    <w:p w14:paraId="6146A5D5" w14:textId="77777777" w:rsidR="008B054A" w:rsidRPr="008B054A" w:rsidRDefault="008B054A" w:rsidP="008B054A">
      <w:pPr>
        <w:pStyle w:val="Listlevel1aAlt5"/>
        <w:numPr>
          <w:ilvl w:val="0"/>
          <w:numId w:val="20"/>
        </w:numPr>
        <w:rPr>
          <w:lang w:val="sv-SE"/>
        </w:rPr>
      </w:pPr>
      <w:r w:rsidRPr="008B054A">
        <w:rPr>
          <w:i/>
          <w:lang w:val="sv-SE"/>
        </w:rPr>
        <w:t>Finansiell ställning och kapacitet att bära förluster</w:t>
      </w:r>
      <w:r w:rsidRPr="00DB4040">
        <w:rPr>
          <w:rStyle w:val="Fotnotsreferens"/>
          <w:i/>
        </w:rPr>
        <w:footnoteReference w:id="8"/>
      </w:r>
      <w:r w:rsidRPr="008B054A">
        <w:rPr>
          <w:lang w:val="sv-SE"/>
        </w:rPr>
        <w:t xml:space="preserve">: [Kunder som har kapacitet att bära förluster uppgående till [●] % av kapitalet som är investerat i [Obligationerna]. /Kunder som inte allokerar mer än [●] % av sina totala tillgångar i instrument som emitteras av en enskild </w:t>
      </w:r>
      <w:proofErr w:type="spellStart"/>
      <w:r w:rsidRPr="008B054A">
        <w:rPr>
          <w:lang w:val="sv-SE"/>
        </w:rPr>
        <w:t>emittent</w:t>
      </w:r>
      <w:proofErr w:type="spellEnd"/>
      <w:r w:rsidRPr="008B054A">
        <w:rPr>
          <w:lang w:val="sv-SE"/>
        </w:rPr>
        <w:t xml:space="preserve">.] </w:t>
      </w:r>
    </w:p>
    <w:p w14:paraId="6E54BAB6" w14:textId="77777777" w:rsidR="008B054A" w:rsidRPr="008B054A" w:rsidRDefault="008B054A" w:rsidP="008B054A">
      <w:pPr>
        <w:pStyle w:val="Listlevel1aAlt5"/>
        <w:numPr>
          <w:ilvl w:val="0"/>
          <w:numId w:val="20"/>
        </w:numPr>
        <w:rPr>
          <w:lang w:val="sv-SE"/>
        </w:rPr>
      </w:pPr>
      <w:r w:rsidRPr="008B054A">
        <w:rPr>
          <w:i/>
          <w:lang w:val="sv-SE"/>
        </w:rPr>
        <w:t>Risktolerans</w:t>
      </w:r>
      <w:r>
        <w:rPr>
          <w:rStyle w:val="Fotnotsreferens"/>
          <w:i/>
        </w:rPr>
        <w:footnoteReference w:id="9"/>
      </w:r>
      <w:r w:rsidRPr="008B054A">
        <w:rPr>
          <w:lang w:val="sv-SE"/>
        </w:rPr>
        <w:t>:</w:t>
      </w:r>
      <w:r w:rsidRPr="008B054A">
        <w:rPr>
          <w:i/>
          <w:lang w:val="sv-SE"/>
        </w:rPr>
        <w:t xml:space="preserve"> </w:t>
      </w:r>
      <w:r w:rsidRPr="008B054A">
        <w:rPr>
          <w:lang w:val="sv-SE"/>
        </w:rPr>
        <w:t>[Kunder med en [låg/balanserad/spekulativ] risktolerans. Kunder som investerar i [Obligationerna] är typiskt sett villiga att ta högre risk än placeringar på konto, men vill inte investera på aktiemarknaden.]</w:t>
      </w:r>
      <w:r>
        <w:rPr>
          <w:rStyle w:val="Fotnotsreferens"/>
        </w:rPr>
        <w:footnoteReference w:id="10"/>
      </w:r>
      <w:r w:rsidRPr="008B054A">
        <w:rPr>
          <w:lang w:val="sv-SE"/>
        </w:rPr>
        <w:t xml:space="preserve"> </w:t>
      </w:r>
    </w:p>
    <w:p w14:paraId="438BCC42" w14:textId="77777777" w:rsidR="008B054A" w:rsidRPr="008B054A" w:rsidRDefault="008B054A" w:rsidP="008B054A">
      <w:pPr>
        <w:pStyle w:val="Listlevel1aAlt5"/>
        <w:numPr>
          <w:ilvl w:val="0"/>
          <w:numId w:val="20"/>
        </w:numPr>
        <w:rPr>
          <w:lang w:val="sv-SE"/>
        </w:rPr>
      </w:pPr>
      <w:r w:rsidRPr="008B054A">
        <w:rPr>
          <w:i/>
          <w:lang w:val="sv-SE"/>
        </w:rPr>
        <w:t>Investeringsmål</w:t>
      </w:r>
      <w:r>
        <w:rPr>
          <w:rStyle w:val="Fotnotsreferens"/>
          <w:i/>
        </w:rPr>
        <w:footnoteReference w:id="11"/>
      </w:r>
      <w:r w:rsidRPr="008B054A">
        <w:rPr>
          <w:lang w:val="sv-SE"/>
        </w:rPr>
        <w:t>: [Kunder vars investeringsmål är att [skydda / generera avkastning på / generera tillväxt av] det investerade kapitalet och som har en [mycket kort / kort / medellång / långsiktig] placeringshorisont.]</w:t>
      </w:r>
      <w:r>
        <w:rPr>
          <w:rStyle w:val="Fotnotsreferens"/>
        </w:rPr>
        <w:footnoteReference w:id="12"/>
      </w:r>
    </w:p>
    <w:p w14:paraId="6527C86E" w14:textId="77777777" w:rsidR="008B054A" w:rsidRPr="008B054A" w:rsidRDefault="008B054A" w:rsidP="008B054A">
      <w:pPr>
        <w:pStyle w:val="Listlevel1aAlt5"/>
        <w:numPr>
          <w:ilvl w:val="0"/>
          <w:numId w:val="20"/>
        </w:numPr>
        <w:rPr>
          <w:lang w:val="sv-SE"/>
        </w:rPr>
      </w:pPr>
      <w:r w:rsidRPr="008B054A">
        <w:rPr>
          <w:lang w:val="sv-SE"/>
        </w:rPr>
        <w:t>Producent[en/</w:t>
      </w:r>
      <w:proofErr w:type="spellStart"/>
      <w:r w:rsidRPr="008B054A">
        <w:rPr>
          <w:lang w:val="sv-SE"/>
        </w:rPr>
        <w:t>erna</w:t>
      </w:r>
      <w:proofErr w:type="spellEnd"/>
      <w:r w:rsidRPr="008B054A">
        <w:rPr>
          <w:lang w:val="sv-SE"/>
        </w:rPr>
        <w:t xml:space="preserve">] har vidare gjort en bedömning avseende den negativa målmarknaden och fastställt att den negativa målmarknaden för [Obligationerna] är kunder som söker fullständigt kapitalskydd eller fullständig återbetalning av det investerade kapitalet, är helt </w:t>
      </w:r>
      <w:proofErr w:type="spellStart"/>
      <w:r w:rsidRPr="008B054A">
        <w:rPr>
          <w:lang w:val="sv-SE"/>
        </w:rPr>
        <w:t>riskaverta</w:t>
      </w:r>
      <w:proofErr w:type="spellEnd"/>
      <w:r w:rsidRPr="008B054A">
        <w:rPr>
          <w:lang w:val="sv-SE"/>
        </w:rPr>
        <w:t xml:space="preserve"> / saknar risktolerans eller behöver en fullständigt garanterad inkomst eller en helt förutsägbar avkastningsprofil.]</w:t>
      </w:r>
      <w:r>
        <w:rPr>
          <w:rStyle w:val="Fotnotsreferens"/>
        </w:rPr>
        <w:footnoteReference w:id="13"/>
      </w:r>
    </w:p>
    <w:p w14:paraId="4241169A" w14:textId="77777777" w:rsidR="008B054A" w:rsidRPr="008B054A" w:rsidRDefault="008B054A" w:rsidP="008B054A">
      <w:pPr>
        <w:rPr>
          <w:lang w:val="sv-SE"/>
        </w:rPr>
      </w:pPr>
      <w:r w:rsidRPr="008B054A">
        <w:rPr>
          <w:lang w:val="sv-SE"/>
        </w:rPr>
        <w:t>Producent[en/</w:t>
      </w:r>
      <w:proofErr w:type="spellStart"/>
      <w:r w:rsidRPr="008B054A">
        <w:rPr>
          <w:lang w:val="sv-SE"/>
        </w:rPr>
        <w:t>erna</w:t>
      </w:r>
      <w:proofErr w:type="spellEnd"/>
      <w:r w:rsidRPr="008B054A">
        <w:rPr>
          <w:lang w:val="sv-SE"/>
        </w:rPr>
        <w:t>] har gjort en bedömning av distributionsstrategin för [Obligationerna] och slutsatsen är att [</w:t>
      </w:r>
      <w:r w:rsidRPr="008B054A">
        <w:rPr>
          <w:b/>
          <w:lang w:val="sv-SE"/>
        </w:rPr>
        <w:t>ANTINGEN]</w:t>
      </w:r>
      <w:r>
        <w:rPr>
          <w:rStyle w:val="Fotnotsreferens"/>
          <w:b/>
        </w:rPr>
        <w:footnoteReference w:id="14"/>
      </w:r>
      <w:r w:rsidRPr="008B054A">
        <w:rPr>
          <w:b/>
          <w:lang w:val="sv-SE"/>
        </w:rPr>
        <w:t xml:space="preserve"> </w:t>
      </w:r>
      <w:r w:rsidRPr="008B054A">
        <w:rPr>
          <w:lang w:val="sv-SE"/>
        </w:rPr>
        <w:t xml:space="preserve">samtliga distributionskanaler för [Obligationerna] är lämpliga[, innefattande investeringsrådgivning, portföljförvaltning, försäljning utan rådgivning och ren </w:t>
      </w:r>
      <w:r w:rsidRPr="008B054A">
        <w:rPr>
          <w:lang w:val="sv-SE"/>
        </w:rPr>
        <w:lastRenderedPageBreak/>
        <w:t>orderexekvering]</w:t>
      </w:r>
      <w:r>
        <w:rPr>
          <w:rStyle w:val="Fotnotsreferens"/>
        </w:rPr>
        <w:footnoteReference w:id="15"/>
      </w:r>
      <w:r w:rsidRPr="008B054A">
        <w:rPr>
          <w:lang w:val="sv-SE"/>
        </w:rPr>
        <w:t xml:space="preserve"> [</w:t>
      </w:r>
      <w:r w:rsidRPr="008B054A">
        <w:rPr>
          <w:b/>
          <w:lang w:val="sv-SE"/>
        </w:rPr>
        <w:t>ELLER]</w:t>
      </w:r>
      <w:r>
        <w:rPr>
          <w:rStyle w:val="Fotnotsreferens"/>
          <w:b/>
        </w:rPr>
        <w:footnoteReference w:id="16"/>
      </w:r>
      <w:r w:rsidRPr="008B054A">
        <w:rPr>
          <w:b/>
          <w:lang w:val="sv-SE"/>
        </w:rPr>
        <w:t xml:space="preserve"> </w:t>
      </w:r>
      <w:r w:rsidRPr="008B054A">
        <w:rPr>
          <w:lang w:val="sv-SE"/>
        </w:rPr>
        <w:t xml:space="preserve">samtliga distributionskanaler för [Obligationerna] är lämpliga för jämbördiga motparter och professionella kunder; och (iii) att följande distributionskanaler för [Obligationerna] är lämpliga för icke-professionella kunder – investeringsrådgivning [, / och] portföljförvaltning [, / och] [försäljning utan rådgivning] [och ren orderexekvering][, med förbehåll för distributörens skyldigheter avseende lämplighets- och ändamålsbedömning enligt </w:t>
      </w:r>
      <w:proofErr w:type="spellStart"/>
      <w:r w:rsidRPr="008B054A">
        <w:rPr>
          <w:lang w:val="sv-SE"/>
        </w:rPr>
        <w:t>MiFID</w:t>
      </w:r>
      <w:proofErr w:type="spellEnd"/>
      <w:r w:rsidRPr="008B054A">
        <w:rPr>
          <w:lang w:val="sv-SE"/>
        </w:rPr>
        <w:t xml:space="preserve"> II]. En person som senare erbjuder, säljer eller rekommenderar [Obligationerna] (en ”</w:t>
      </w:r>
      <w:r w:rsidRPr="008B054A">
        <w:rPr>
          <w:b/>
          <w:lang w:val="sv-SE"/>
        </w:rPr>
        <w:t>distributör</w:t>
      </w:r>
      <w:r w:rsidRPr="008B054A">
        <w:rPr>
          <w:lang w:val="sv-SE"/>
        </w:rPr>
        <w:t>”) ska beakta producent[ens/</w:t>
      </w:r>
      <w:proofErr w:type="spellStart"/>
      <w:r w:rsidRPr="008B054A">
        <w:rPr>
          <w:lang w:val="sv-SE"/>
        </w:rPr>
        <w:t>ernas</w:t>
      </w:r>
      <w:proofErr w:type="spellEnd"/>
      <w:r w:rsidRPr="008B054A">
        <w:rPr>
          <w:lang w:val="sv-SE"/>
        </w:rPr>
        <w:t xml:space="preserve">] målmarknadsbedömning. En distributör som träffas av </w:t>
      </w:r>
      <w:proofErr w:type="spellStart"/>
      <w:r w:rsidRPr="008B054A">
        <w:rPr>
          <w:lang w:val="sv-SE"/>
        </w:rPr>
        <w:t>MiFID</w:t>
      </w:r>
      <w:proofErr w:type="spellEnd"/>
      <w:r w:rsidRPr="008B054A">
        <w:rPr>
          <w:lang w:val="sv-SE"/>
        </w:rPr>
        <w:t xml:space="preserve"> II är dock skyldig att genomföra sin egen målmarknadsbedömning av [Obligationerna] (genom att antingen använda eller anpassa producent[ens/</w:t>
      </w:r>
      <w:proofErr w:type="spellStart"/>
      <w:r w:rsidRPr="008B054A">
        <w:rPr>
          <w:lang w:val="sv-SE"/>
        </w:rPr>
        <w:t>ernas</w:t>
      </w:r>
      <w:proofErr w:type="spellEnd"/>
      <w:r w:rsidRPr="008B054A">
        <w:rPr>
          <w:lang w:val="sv-SE"/>
        </w:rPr>
        <w:t xml:space="preserve">] målmarknadsbedömning) och att fastställa lämpliga distributionskanaler [, med förbehåll för distributörens skyldigheter avseende lämplighets- och ändamålsbedömning enligt </w:t>
      </w:r>
      <w:proofErr w:type="spellStart"/>
      <w:r w:rsidRPr="008B054A">
        <w:rPr>
          <w:lang w:val="sv-SE"/>
        </w:rPr>
        <w:t>MiFID</w:t>
      </w:r>
      <w:proofErr w:type="spellEnd"/>
      <w:r w:rsidRPr="008B054A">
        <w:rPr>
          <w:lang w:val="sv-SE"/>
        </w:rPr>
        <w:t xml:space="preserve"> II</w:t>
      </w:r>
      <w:r>
        <w:rPr>
          <w:rStyle w:val="Fotnotsreferens"/>
        </w:rPr>
        <w:footnoteReference w:id="17"/>
      </w:r>
      <w:r w:rsidRPr="008B054A">
        <w:rPr>
          <w:lang w:val="sv-SE"/>
        </w:rPr>
        <w:t>].</w:t>
      </w:r>
    </w:p>
    <w:p w14:paraId="560CE856" w14:textId="77777777" w:rsidR="008B054A" w:rsidRPr="008B054A" w:rsidRDefault="008B054A" w:rsidP="008B054A">
      <w:pPr>
        <w:pStyle w:val="Rubrik2"/>
        <w:rPr>
          <w:lang w:val="sv-SE"/>
        </w:rPr>
      </w:pPr>
      <w:r w:rsidRPr="008B054A">
        <w:rPr>
          <w:lang w:val="sv-SE"/>
        </w:rPr>
        <w:t>Text som kan inkluderas i exempelvis ett emissionsavtal för ett MTN-program eller ett mandatbrev för en fristående emission</w:t>
      </w:r>
    </w:p>
    <w:p w14:paraId="483A15A4" w14:textId="77777777" w:rsidR="008B054A" w:rsidRPr="008B054A" w:rsidRDefault="008B054A" w:rsidP="008B054A">
      <w:pPr>
        <w:rPr>
          <w:lang w:val="sv-SE"/>
        </w:rPr>
      </w:pPr>
      <w:r w:rsidRPr="008B054A">
        <w:rPr>
          <w:lang w:val="sv-SE"/>
        </w:rPr>
        <w:t xml:space="preserve">Enligt </w:t>
      </w:r>
      <w:proofErr w:type="spellStart"/>
      <w:r w:rsidRPr="008B054A">
        <w:rPr>
          <w:lang w:val="sv-SE"/>
        </w:rPr>
        <w:t>MiFID:s</w:t>
      </w:r>
      <w:proofErr w:type="spellEnd"/>
      <w:r w:rsidRPr="008B054A">
        <w:rPr>
          <w:lang w:val="sv-SE"/>
        </w:rPr>
        <w:t xml:space="preserve"> produktstyrningskrav under det delegerade direktivet 2017/593 (”</w:t>
      </w:r>
      <w:proofErr w:type="spellStart"/>
      <w:r w:rsidRPr="008B054A">
        <w:rPr>
          <w:b/>
          <w:lang w:val="sv-SE"/>
        </w:rPr>
        <w:t>MiFID:s</w:t>
      </w:r>
      <w:proofErr w:type="spellEnd"/>
      <w:r w:rsidRPr="008B054A">
        <w:rPr>
          <w:b/>
          <w:lang w:val="sv-SE"/>
        </w:rPr>
        <w:t xml:space="preserve"> produktstyrningskrav</w:t>
      </w:r>
      <w:r w:rsidRPr="008B054A">
        <w:rPr>
          <w:lang w:val="sv-SE"/>
        </w:rPr>
        <w:t xml:space="preserve">”), ska det i förhållande till varje emission fastställas huruvida Arrangören eller någon Handlare (Eng: </w:t>
      </w:r>
      <w:r w:rsidRPr="008B054A">
        <w:rPr>
          <w:i/>
          <w:lang w:val="sv-SE"/>
        </w:rPr>
        <w:t>Dealer</w:t>
      </w:r>
      <w:r w:rsidRPr="008B054A">
        <w:rPr>
          <w:lang w:val="sv-SE"/>
        </w:rPr>
        <w:t>) som deltar i emissionen av [Obligationerna] är en producent av sådana [Obligationer].</w:t>
      </w:r>
      <w:r>
        <w:rPr>
          <w:rStyle w:val="Fotnotsreferens"/>
        </w:rPr>
        <w:footnoteReference w:id="18"/>
      </w:r>
      <w:r w:rsidRPr="008B054A">
        <w:rPr>
          <w:lang w:val="sv-SE"/>
        </w:rPr>
        <w:t xml:space="preserve"> Varken Arrangören, Handlare eller någon av deras respektive dotterbolag som inte deltar i en emission kommer att anses vara en producent vid tillämpningen av </w:t>
      </w:r>
      <w:proofErr w:type="spellStart"/>
      <w:r w:rsidRPr="008B054A">
        <w:rPr>
          <w:lang w:val="sv-SE"/>
        </w:rPr>
        <w:t>MiFID:s</w:t>
      </w:r>
      <w:proofErr w:type="spellEnd"/>
      <w:r w:rsidRPr="008B054A">
        <w:rPr>
          <w:lang w:val="sv-SE"/>
        </w:rPr>
        <w:t xml:space="preserve"> produktstyrningskrav.</w:t>
      </w:r>
      <w:r>
        <w:rPr>
          <w:rStyle w:val="Fotnotsreferens"/>
        </w:rPr>
        <w:footnoteReference w:id="19"/>
      </w:r>
    </w:p>
    <w:p w14:paraId="775D0BB7" w14:textId="77777777" w:rsidR="008B054A" w:rsidRPr="008B054A" w:rsidRDefault="008B054A" w:rsidP="008B054A">
      <w:pPr>
        <w:pStyle w:val="Rubrik2"/>
        <w:rPr>
          <w:lang w:val="sv-SE"/>
        </w:rPr>
      </w:pPr>
      <w:r w:rsidRPr="008B054A">
        <w:rPr>
          <w:lang w:val="sv-SE"/>
        </w:rPr>
        <w:t xml:space="preserve">Text som kan inkluderas i exempelvis ett separat avtal mellan managers, ett mandatbrev för emissioner under ett MTN-program eller ett emissionsavtal för en fristående emission </w:t>
      </w:r>
    </w:p>
    <w:p w14:paraId="47977533" w14:textId="77777777" w:rsidR="008B054A" w:rsidRPr="008B054A" w:rsidRDefault="008B054A" w:rsidP="008B054A">
      <w:pPr>
        <w:rPr>
          <w:lang w:val="sv-SE"/>
        </w:rPr>
      </w:pPr>
      <w:r w:rsidRPr="008B054A">
        <w:rPr>
          <w:lang w:val="sv-SE"/>
        </w:rPr>
        <w:t xml:space="preserve">Vid tillämpningen av kraven i artikel 9(8) i </w:t>
      </w:r>
      <w:proofErr w:type="spellStart"/>
      <w:r w:rsidRPr="008B054A">
        <w:rPr>
          <w:lang w:val="sv-SE"/>
        </w:rPr>
        <w:t>MiFID:s</w:t>
      </w:r>
      <w:proofErr w:type="spellEnd"/>
      <w:r w:rsidRPr="008B054A">
        <w:rPr>
          <w:lang w:val="sv-SE"/>
        </w:rPr>
        <w:t xml:space="preserve"> produktstyrningskrav enligt det delegerade direktivet 2017/593 (”</w:t>
      </w:r>
      <w:proofErr w:type="spellStart"/>
      <w:r w:rsidRPr="008B054A">
        <w:rPr>
          <w:b/>
          <w:lang w:val="sv-SE"/>
        </w:rPr>
        <w:t>MiFID:s</w:t>
      </w:r>
      <w:proofErr w:type="spellEnd"/>
      <w:r w:rsidRPr="008B054A">
        <w:rPr>
          <w:b/>
          <w:lang w:val="sv-SE"/>
        </w:rPr>
        <w:t xml:space="preserve"> produktstyrningskrav</w:t>
      </w:r>
      <w:r w:rsidRPr="008B054A">
        <w:rPr>
          <w:lang w:val="sv-SE"/>
        </w:rPr>
        <w:t xml:space="preserve">”) gäller följande angående respektive parts skyldigheter som producenter enligt </w:t>
      </w:r>
      <w:proofErr w:type="spellStart"/>
      <w:r w:rsidRPr="008B054A">
        <w:rPr>
          <w:lang w:val="sv-SE"/>
        </w:rPr>
        <w:t>MiFID:s</w:t>
      </w:r>
      <w:proofErr w:type="spellEnd"/>
      <w:r w:rsidRPr="008B054A">
        <w:rPr>
          <w:lang w:val="sv-SE"/>
        </w:rPr>
        <w:t xml:space="preserve"> Produktstyrningskrav: </w:t>
      </w:r>
    </w:p>
    <w:p w14:paraId="1877F9F9" w14:textId="77777777" w:rsidR="008B054A" w:rsidRPr="008B054A" w:rsidRDefault="008B054A" w:rsidP="008B054A">
      <w:pPr>
        <w:pStyle w:val="Listlevel1aAlt5"/>
        <w:numPr>
          <w:ilvl w:val="0"/>
          <w:numId w:val="21"/>
        </w:numPr>
        <w:rPr>
          <w:lang w:val="sv-SE"/>
        </w:rPr>
      </w:pPr>
      <w:r w:rsidRPr="008B054A">
        <w:rPr>
          <w:lang w:val="sv-SE"/>
        </w:rPr>
        <w:t>var och en av [</w:t>
      </w:r>
      <w:proofErr w:type="spellStart"/>
      <w:r w:rsidRPr="008B054A">
        <w:rPr>
          <w:lang w:val="sv-SE"/>
        </w:rPr>
        <w:t>Emittenten</w:t>
      </w:r>
      <w:proofErr w:type="spellEnd"/>
      <w:r w:rsidRPr="008B054A">
        <w:rPr>
          <w:lang w:val="sv-SE"/>
        </w:rPr>
        <w:t xml:space="preserve"> [, Garant[en/</w:t>
      </w:r>
      <w:proofErr w:type="spellStart"/>
      <w:r w:rsidRPr="008B054A">
        <w:rPr>
          <w:lang w:val="sv-SE"/>
        </w:rPr>
        <w:t>erna</w:t>
      </w:r>
      <w:proofErr w:type="spellEnd"/>
      <w:r w:rsidRPr="008B054A">
        <w:rPr>
          <w:lang w:val="sv-SE"/>
        </w:rPr>
        <w:t xml:space="preserve">]] och] [[Joint] </w:t>
      </w:r>
      <w:proofErr w:type="spellStart"/>
      <w:r w:rsidRPr="008B054A">
        <w:rPr>
          <w:lang w:val="sv-SE"/>
        </w:rPr>
        <w:t>Lead</w:t>
      </w:r>
      <w:proofErr w:type="spellEnd"/>
      <w:r w:rsidRPr="008B054A">
        <w:rPr>
          <w:lang w:val="sv-SE"/>
        </w:rPr>
        <w:t xml:space="preserve"> Manager[s] / [ska identifiera vilka Managers som bedöms vara producenter enligt </w:t>
      </w:r>
      <w:proofErr w:type="spellStart"/>
      <w:r w:rsidRPr="008B054A">
        <w:rPr>
          <w:lang w:val="sv-SE"/>
        </w:rPr>
        <w:t>MiFID</w:t>
      </w:r>
      <w:proofErr w:type="spellEnd"/>
      <w:r w:rsidRPr="008B054A">
        <w:rPr>
          <w:lang w:val="sv-SE"/>
        </w:rPr>
        <w:t>] (var och en ”</w:t>
      </w:r>
      <w:r w:rsidRPr="008B054A">
        <w:rPr>
          <w:b/>
          <w:lang w:val="sv-SE"/>
        </w:rPr>
        <w:t>Producent</w:t>
      </w:r>
      <w:r w:rsidRPr="008B054A">
        <w:rPr>
          <w:lang w:val="sv-SE"/>
        </w:rPr>
        <w:t>”</w:t>
      </w:r>
      <w:r w:rsidRPr="008B054A">
        <w:rPr>
          <w:b/>
          <w:lang w:val="sv-SE"/>
        </w:rPr>
        <w:t xml:space="preserve"> </w:t>
      </w:r>
      <w:r w:rsidRPr="008B054A">
        <w:rPr>
          <w:lang w:val="sv-SE"/>
        </w:rPr>
        <w:t>och gemensamt ”</w:t>
      </w:r>
      <w:r w:rsidRPr="008B054A">
        <w:rPr>
          <w:b/>
          <w:lang w:val="sv-SE"/>
        </w:rPr>
        <w:t>Producenter</w:t>
      </w:r>
      <w:r w:rsidRPr="008B054A">
        <w:rPr>
          <w:lang w:val="sv-SE"/>
        </w:rPr>
        <w:t xml:space="preserve">”), ska för varandra bekräfta att de förstår </w:t>
      </w:r>
      <w:r w:rsidRPr="008B054A">
        <w:rPr>
          <w:lang w:val="sv-SE"/>
        </w:rPr>
        <w:lastRenderedPageBreak/>
        <w:t xml:space="preserve">skyldigheterna som följer av </w:t>
      </w:r>
      <w:proofErr w:type="spellStart"/>
      <w:r w:rsidRPr="008B054A">
        <w:rPr>
          <w:lang w:val="sv-SE"/>
        </w:rPr>
        <w:t>MiFID:s</w:t>
      </w:r>
      <w:proofErr w:type="spellEnd"/>
      <w:r w:rsidRPr="008B054A">
        <w:rPr>
          <w:lang w:val="sv-SE"/>
        </w:rPr>
        <w:t xml:space="preserve"> produktstyrningskrav, inklusive skyldigheterna relaterat till produktgodkännandeprocessen, målmarknaden och de föreslagna distributionskanalerna som tillämpas för [Obligationerna] samt relaterad informationen i [investerarpresentationen/ slutliga villkoren / prospektet] avseende [Obligationerna]; och</w:t>
      </w:r>
    </w:p>
    <w:p w14:paraId="4DBD9422" w14:textId="77777777" w:rsidR="008B054A" w:rsidRPr="008B054A" w:rsidRDefault="008B054A" w:rsidP="008B054A">
      <w:pPr>
        <w:pStyle w:val="Listlevel1aAlt5"/>
        <w:numPr>
          <w:ilvl w:val="0"/>
          <w:numId w:val="21"/>
        </w:numPr>
        <w:rPr>
          <w:lang w:val="sv-SE"/>
        </w:rPr>
      </w:pPr>
      <w:r w:rsidRPr="008B054A">
        <w:rPr>
          <w:lang w:val="sv-SE"/>
        </w:rPr>
        <w:t>[Managers] [och/,] [</w:t>
      </w:r>
      <w:proofErr w:type="spellStart"/>
      <w:r w:rsidRPr="008B054A">
        <w:rPr>
          <w:lang w:val="sv-SE"/>
        </w:rPr>
        <w:t>Emittenten</w:t>
      </w:r>
      <w:proofErr w:type="spellEnd"/>
      <w:r w:rsidRPr="008B054A">
        <w:rPr>
          <w:lang w:val="sv-SE"/>
        </w:rPr>
        <w:t xml:space="preserve"> [och Garant[en/</w:t>
      </w:r>
      <w:proofErr w:type="spellStart"/>
      <w:r w:rsidRPr="008B054A">
        <w:rPr>
          <w:lang w:val="sv-SE"/>
        </w:rPr>
        <w:t>erna</w:t>
      </w:r>
      <w:proofErr w:type="spellEnd"/>
      <w:r w:rsidRPr="008B054A">
        <w:rPr>
          <w:lang w:val="sv-SE"/>
        </w:rPr>
        <w:t xml:space="preserve">] noterar tillämpningen av </w:t>
      </w:r>
      <w:proofErr w:type="spellStart"/>
      <w:r w:rsidRPr="008B054A">
        <w:rPr>
          <w:lang w:val="sv-SE"/>
        </w:rPr>
        <w:t>MiFID:s</w:t>
      </w:r>
      <w:proofErr w:type="spellEnd"/>
      <w:r w:rsidRPr="008B054A">
        <w:rPr>
          <w:lang w:val="sv-SE"/>
        </w:rPr>
        <w:t xml:space="preserve"> produktstyrningskrav och bekräftar tillämpningen av den målmarknad och de distributionskanaler som identifierats av Producent[en/</w:t>
      </w:r>
      <w:proofErr w:type="spellStart"/>
      <w:r w:rsidRPr="008B054A">
        <w:rPr>
          <w:lang w:val="sv-SE"/>
        </w:rPr>
        <w:t>erna</w:t>
      </w:r>
      <w:proofErr w:type="spellEnd"/>
      <w:r w:rsidRPr="008B054A">
        <w:rPr>
          <w:lang w:val="sv-SE"/>
        </w:rPr>
        <w:t xml:space="preserve">] för [Obligationerna] samt relaterad information som anges i [investerarpresentationen/ de slutliga villkoren / prospektet] avseende [Obligationerna]. </w:t>
      </w:r>
    </w:p>
    <w:p w14:paraId="7CE8AB8C" w14:textId="77777777" w:rsidR="008B054A" w:rsidRDefault="008B054A" w:rsidP="008B054A">
      <w:pPr>
        <w:pStyle w:val="Rubrik1"/>
      </w:pPr>
      <w:proofErr w:type="spellStart"/>
      <w:r>
        <w:t>Tilläggsskrivningar</w:t>
      </w:r>
      <w:proofErr w:type="spellEnd"/>
      <w:r>
        <w:t xml:space="preserve"> </w:t>
      </w:r>
      <w:proofErr w:type="spellStart"/>
      <w:r>
        <w:t>för</w:t>
      </w:r>
      <w:proofErr w:type="spellEnd"/>
      <w:r>
        <w:t xml:space="preserve"> PRIIPs</w:t>
      </w:r>
      <w:r>
        <w:rPr>
          <w:rStyle w:val="Fotnotsreferens"/>
        </w:rPr>
        <w:footnoteReference w:id="20"/>
      </w:r>
    </w:p>
    <w:p w14:paraId="050A19D7" w14:textId="77777777" w:rsidR="008B054A" w:rsidRPr="008B054A" w:rsidRDefault="008B054A" w:rsidP="008B054A">
      <w:pPr>
        <w:pStyle w:val="Rubrik2"/>
        <w:rPr>
          <w:lang w:val="sv-SE"/>
        </w:rPr>
      </w:pPr>
      <w:r w:rsidRPr="008B054A">
        <w:rPr>
          <w:lang w:val="sv-SE"/>
        </w:rPr>
        <w:t xml:space="preserve">Text som kan inkluderas i exempelvis en investerarpresentation, ett separat avtal mellan </w:t>
      </w:r>
      <w:proofErr w:type="spellStart"/>
      <w:r w:rsidRPr="008B054A">
        <w:rPr>
          <w:lang w:val="sv-SE"/>
        </w:rPr>
        <w:t>emittenten</w:t>
      </w:r>
      <w:proofErr w:type="spellEnd"/>
      <w:r w:rsidRPr="008B054A">
        <w:rPr>
          <w:lang w:val="sv-SE"/>
        </w:rPr>
        <w:t xml:space="preserve"> och managers eller i ett prospekt för en fristående emission ej riktad till icke-professionella kunder, förutsatt att [Obligationerna] utgör en PRIIP produkt. </w:t>
      </w:r>
    </w:p>
    <w:p w14:paraId="6F8E09DF" w14:textId="77777777" w:rsidR="008B054A" w:rsidRPr="008B054A" w:rsidRDefault="008B054A" w:rsidP="008B054A">
      <w:pPr>
        <w:rPr>
          <w:lang w:val="sv-SE"/>
        </w:rPr>
      </w:pPr>
      <w:r w:rsidRPr="008B054A">
        <w:rPr>
          <w:lang w:val="sv-SE"/>
        </w:rPr>
        <w:t>[Obligationerna] är inte ämnade att erbjudas, säljas eller på annat sätt göras tillgängliga för, och ska inte erbjudas, säljas eller på annat sätt göras tillgängliga för, någon icke-professionell investerare inom det europeiska ekonomiska samarbetsområdet (”</w:t>
      </w:r>
      <w:r w:rsidRPr="008B054A">
        <w:rPr>
          <w:b/>
          <w:lang w:val="sv-SE"/>
        </w:rPr>
        <w:t>EES</w:t>
      </w:r>
      <w:r w:rsidRPr="008B054A">
        <w:rPr>
          <w:lang w:val="sv-SE"/>
        </w:rPr>
        <w:t>”). I detta avseende är en icke-professionell kund en person som uppfyller ett (eller flera) av följande kriterier: (i) en icke-professionell kund enligt definitionen i punkt (11) artikel 4(1) i [direktiv 2014/65/EU (”</w:t>
      </w:r>
      <w:proofErr w:type="spellStart"/>
      <w:r w:rsidRPr="008B054A">
        <w:rPr>
          <w:b/>
          <w:lang w:val="sv-SE"/>
        </w:rPr>
        <w:t>MiFID</w:t>
      </w:r>
      <w:proofErr w:type="spellEnd"/>
      <w:r w:rsidRPr="008B054A">
        <w:rPr>
          <w:b/>
          <w:lang w:val="sv-SE"/>
        </w:rPr>
        <w:t xml:space="preserve"> II</w:t>
      </w:r>
      <w:r w:rsidRPr="008B054A">
        <w:rPr>
          <w:lang w:val="sv-SE"/>
        </w:rPr>
        <w:t>”)/</w:t>
      </w:r>
      <w:proofErr w:type="spellStart"/>
      <w:r w:rsidRPr="008B054A">
        <w:rPr>
          <w:lang w:val="sv-SE"/>
        </w:rPr>
        <w:t>MiFID</w:t>
      </w:r>
      <w:proofErr w:type="spellEnd"/>
      <w:r w:rsidRPr="008B054A">
        <w:rPr>
          <w:lang w:val="sv-SE"/>
        </w:rPr>
        <w:t xml:space="preserve"> II]; (ii) en kund som avses i direktiv 2002/92/EG (”</w:t>
      </w:r>
      <w:r w:rsidRPr="008B054A">
        <w:rPr>
          <w:b/>
          <w:lang w:val="sv-SE"/>
        </w:rPr>
        <w:t>IMD</w:t>
      </w:r>
      <w:r w:rsidRPr="008B054A">
        <w:rPr>
          <w:lang w:val="sv-SE"/>
        </w:rPr>
        <w:t xml:space="preserve">”), där kunden inte räknas som en professionell kund enligt definitionen i punkt (10) artikel 4(1) i </w:t>
      </w:r>
      <w:proofErr w:type="spellStart"/>
      <w:r w:rsidRPr="008B054A">
        <w:rPr>
          <w:lang w:val="sv-SE"/>
        </w:rPr>
        <w:t>MiFID</w:t>
      </w:r>
      <w:proofErr w:type="spellEnd"/>
      <w:r w:rsidRPr="008B054A">
        <w:rPr>
          <w:lang w:val="sv-SE"/>
        </w:rPr>
        <w:t xml:space="preserve"> II; eller (iii) inte utgör en kvalificerad investerare såsom det definieras i direktiv 2003/71/EG (”</w:t>
      </w:r>
      <w:r w:rsidRPr="008B054A">
        <w:rPr>
          <w:b/>
          <w:lang w:val="sv-SE"/>
        </w:rPr>
        <w:t>Prospektdirektivet</w:t>
      </w:r>
      <w:r w:rsidRPr="008B054A">
        <w:rPr>
          <w:lang w:val="sv-SE"/>
        </w:rPr>
        <w:t>”). [Följaktligen har inget faktablad innehållande nyckelinformation som krävs enligt förordning (EU) nr. 1286/2014 (”</w:t>
      </w:r>
      <w:proofErr w:type="spellStart"/>
      <w:r w:rsidRPr="008B054A">
        <w:rPr>
          <w:b/>
          <w:lang w:val="sv-SE"/>
        </w:rPr>
        <w:t>PRIIPs</w:t>
      </w:r>
      <w:proofErr w:type="spellEnd"/>
      <w:r w:rsidRPr="008B054A">
        <w:rPr>
          <w:b/>
          <w:lang w:val="sv-SE"/>
        </w:rPr>
        <w:t>-förordningen</w:t>
      </w:r>
      <w:r w:rsidRPr="008B054A">
        <w:rPr>
          <w:lang w:val="sv-SE"/>
        </w:rPr>
        <w:t xml:space="preserve">”) för att erbjuda eller sälja [Obligationerna], eller på annat sätt göra dem tillgängliga för icke-professionella kunder inom EES, tagits fram. Att erbjuda, sälja eller på annat sätt göra [Obligationerna] tillgängliga för icke-professionella kunder inom EES kan därmed strida mot bestämmelserna i </w:t>
      </w:r>
      <w:proofErr w:type="spellStart"/>
      <w:r w:rsidRPr="008B054A">
        <w:rPr>
          <w:lang w:val="sv-SE"/>
        </w:rPr>
        <w:t>PRIIPs</w:t>
      </w:r>
      <w:proofErr w:type="spellEnd"/>
      <w:r w:rsidRPr="008B054A">
        <w:rPr>
          <w:lang w:val="sv-SE"/>
        </w:rPr>
        <w:t>-förordningen.]</w:t>
      </w:r>
      <w:r>
        <w:rPr>
          <w:rStyle w:val="Fotnotsreferens"/>
        </w:rPr>
        <w:footnoteReference w:id="21"/>
      </w:r>
    </w:p>
    <w:p w14:paraId="371D95C4" w14:textId="77777777" w:rsidR="008B054A" w:rsidRPr="008B054A" w:rsidRDefault="008B054A" w:rsidP="008B054A">
      <w:pPr>
        <w:pStyle w:val="Rubrik2"/>
        <w:rPr>
          <w:lang w:val="sv-SE"/>
        </w:rPr>
      </w:pPr>
      <w:r w:rsidRPr="008B054A">
        <w:rPr>
          <w:lang w:val="sv-SE"/>
        </w:rPr>
        <w:t xml:space="preserve">Text som kan inkluderas i exempelvis ett separat avtal mellan </w:t>
      </w:r>
      <w:proofErr w:type="spellStart"/>
      <w:r w:rsidRPr="008B054A">
        <w:rPr>
          <w:lang w:val="sv-SE"/>
        </w:rPr>
        <w:t>emittenten</w:t>
      </w:r>
      <w:proofErr w:type="spellEnd"/>
      <w:r w:rsidRPr="008B054A">
        <w:rPr>
          <w:lang w:val="sv-SE"/>
        </w:rPr>
        <w:t xml:space="preserve"> och managers eller i ett MTN-prospekt, förutsatt att [Obligationerna] som faller under programmet potentiellt kan utgöra en PRIIP produkt.</w:t>
      </w:r>
    </w:p>
    <w:p w14:paraId="05074D75" w14:textId="77777777" w:rsidR="008B054A" w:rsidRPr="008B054A" w:rsidRDefault="008B054A" w:rsidP="008B054A">
      <w:pPr>
        <w:rPr>
          <w:lang w:val="sv-SE"/>
        </w:rPr>
      </w:pPr>
      <w:r w:rsidRPr="008B054A">
        <w:rPr>
          <w:lang w:val="sv-SE"/>
        </w:rPr>
        <w:t>Om vissa emissioner av [Obligationerna] skulle anses falla inom tillämpningsområdet för förordning (EU) nr. 1286/2014 (”</w:t>
      </w:r>
      <w:proofErr w:type="spellStart"/>
      <w:r w:rsidRPr="008B054A">
        <w:rPr>
          <w:b/>
          <w:lang w:val="sv-SE"/>
        </w:rPr>
        <w:t>PRIIPs</w:t>
      </w:r>
      <w:proofErr w:type="spellEnd"/>
      <w:r w:rsidRPr="008B054A">
        <w:rPr>
          <w:b/>
          <w:lang w:val="sv-SE"/>
        </w:rPr>
        <w:t>-förordningen</w:t>
      </w:r>
      <w:r w:rsidRPr="008B054A">
        <w:rPr>
          <w:lang w:val="sv-SE"/>
        </w:rPr>
        <w:t>”) får sådana [Obligationer] inte erbjudas, säljas eller på annat sätt göras tillgängliga för någon icke-professionell kund inom europeiska ekonomiska samarbetsområdet (”</w:t>
      </w:r>
      <w:r w:rsidRPr="008B054A">
        <w:rPr>
          <w:b/>
          <w:lang w:val="sv-SE"/>
        </w:rPr>
        <w:t>EES</w:t>
      </w:r>
      <w:r w:rsidRPr="008B054A">
        <w:rPr>
          <w:lang w:val="sv-SE"/>
        </w:rPr>
        <w:t xml:space="preserve">”). Detta då något faktablad innehållande nyckelinformation som krävs för erbjudanden till icke-professionella kunder av produkter som faller inom tillämpningsområdet för </w:t>
      </w:r>
      <w:proofErr w:type="spellStart"/>
      <w:r w:rsidRPr="008B054A">
        <w:rPr>
          <w:lang w:val="sv-SE"/>
        </w:rPr>
        <w:t>PRIIPs</w:t>
      </w:r>
      <w:proofErr w:type="spellEnd"/>
      <w:r w:rsidRPr="008B054A">
        <w:rPr>
          <w:lang w:val="sv-SE"/>
        </w:rPr>
        <w:t xml:space="preserve">-förordningen inte kommer att upprättas för några [Obligationer] under programmet, vilket är ett krav vid erbjudande till icke-professionella kunder av [Obligationer] som träffas av </w:t>
      </w:r>
      <w:proofErr w:type="spellStart"/>
      <w:r w:rsidRPr="008B054A">
        <w:rPr>
          <w:lang w:val="sv-SE"/>
        </w:rPr>
        <w:t>PRIIPs</w:t>
      </w:r>
      <w:proofErr w:type="spellEnd"/>
      <w:r w:rsidRPr="008B054A">
        <w:rPr>
          <w:lang w:val="sv-SE"/>
        </w:rPr>
        <w:t>-förordningen. Att trots detta erbjuda, sälja eller på annat sätt göra [Obligationerna] tillgängliga för icke-professionella kunder inom EES kan strida mot bestämmelserna i nämnda förordning. En icke-professionell kund är en person som uppfyller ett (eller flera) av följande kriterier: (i) en icke-</w:t>
      </w:r>
      <w:r w:rsidRPr="008B054A">
        <w:rPr>
          <w:lang w:val="sv-SE"/>
        </w:rPr>
        <w:lastRenderedPageBreak/>
        <w:t>professionell kund enligt definitionen i punkt (11) artikel 4(1) i [direktiv 2014/65/EU (”</w:t>
      </w:r>
      <w:proofErr w:type="spellStart"/>
      <w:r w:rsidRPr="008B054A">
        <w:rPr>
          <w:b/>
          <w:lang w:val="sv-SE"/>
        </w:rPr>
        <w:t>MiFID</w:t>
      </w:r>
      <w:proofErr w:type="spellEnd"/>
      <w:r w:rsidRPr="008B054A">
        <w:rPr>
          <w:b/>
          <w:lang w:val="sv-SE"/>
        </w:rPr>
        <w:t xml:space="preserve"> II</w:t>
      </w:r>
      <w:r w:rsidRPr="008B054A">
        <w:rPr>
          <w:lang w:val="sv-SE"/>
        </w:rPr>
        <w:t>”)/</w:t>
      </w:r>
      <w:proofErr w:type="spellStart"/>
      <w:r w:rsidRPr="008B054A">
        <w:rPr>
          <w:lang w:val="sv-SE"/>
        </w:rPr>
        <w:t>MiFID</w:t>
      </w:r>
      <w:proofErr w:type="spellEnd"/>
      <w:r w:rsidRPr="008B054A">
        <w:rPr>
          <w:lang w:val="sv-SE"/>
        </w:rPr>
        <w:t xml:space="preserve"> II]; (ii) en kund som avses i direktiv 2002/92/EG (”</w:t>
      </w:r>
      <w:r w:rsidRPr="008B054A">
        <w:rPr>
          <w:b/>
          <w:lang w:val="sv-SE"/>
        </w:rPr>
        <w:t>IMD</w:t>
      </w:r>
      <w:r w:rsidRPr="008B054A">
        <w:rPr>
          <w:lang w:val="sv-SE"/>
        </w:rPr>
        <w:t xml:space="preserve">”), där kunden inte räknas som en professionell kund enligt definitionen i punkt (10) artikel 4(1) i </w:t>
      </w:r>
      <w:proofErr w:type="spellStart"/>
      <w:r w:rsidRPr="008B054A">
        <w:rPr>
          <w:lang w:val="sv-SE"/>
        </w:rPr>
        <w:t>MiFID</w:t>
      </w:r>
      <w:proofErr w:type="spellEnd"/>
      <w:r w:rsidRPr="008B054A">
        <w:rPr>
          <w:lang w:val="sv-SE"/>
        </w:rPr>
        <w:t xml:space="preserve"> II; eller (iii) inte utgör en kvalificerad investerare såsom det definieras i direktiv 2003/71/EG (”</w:t>
      </w:r>
      <w:r w:rsidRPr="008B054A">
        <w:rPr>
          <w:b/>
          <w:lang w:val="sv-SE"/>
        </w:rPr>
        <w:t>Prospektdirektivet</w:t>
      </w:r>
      <w:r w:rsidRPr="008B054A">
        <w:rPr>
          <w:lang w:val="sv-SE"/>
        </w:rPr>
        <w:t>”).</w:t>
      </w:r>
    </w:p>
    <w:p w14:paraId="04333F66" w14:textId="77777777" w:rsidR="008B054A" w:rsidRPr="008B054A" w:rsidRDefault="008B054A" w:rsidP="008B054A">
      <w:pPr>
        <w:rPr>
          <w:b/>
          <w:lang w:val="sv-SE"/>
        </w:rPr>
      </w:pPr>
    </w:p>
    <w:p w14:paraId="3D13E0E1" w14:textId="77777777" w:rsidR="008B054A" w:rsidRPr="008B054A" w:rsidRDefault="008B054A" w:rsidP="008B054A">
      <w:pPr>
        <w:pBdr>
          <w:top w:val="single" w:sz="4" w:space="0" w:color="auto"/>
        </w:pBdr>
        <w:ind w:left="2891" w:right="2891"/>
        <w:jc w:val="center"/>
        <w:rPr>
          <w:b/>
          <w:lang w:val="sv-SE"/>
        </w:rPr>
      </w:pPr>
    </w:p>
    <w:p w14:paraId="3EA6F3C0" w14:textId="77777777" w:rsidR="00510343" w:rsidRPr="008B054A" w:rsidRDefault="001B21AF" w:rsidP="00471E6B">
      <w:pPr>
        <w:rPr>
          <w:lang w:val="sv-SE"/>
        </w:rPr>
      </w:pPr>
      <w:r w:rsidRPr="008B054A">
        <w:rPr>
          <w:lang w:val="sv-SE"/>
        </w:rPr>
        <w:br/>
      </w:r>
    </w:p>
    <w:p w14:paraId="25E1E8B0" w14:textId="77777777" w:rsidR="008413F4" w:rsidRPr="008B054A" w:rsidRDefault="008413F4" w:rsidP="00B449AC">
      <w:pPr>
        <w:pBdr>
          <w:top w:val="single" w:sz="4" w:space="1" w:color="auto"/>
          <w:left w:val="single" w:sz="4" w:space="4" w:color="auto"/>
          <w:bottom w:val="single" w:sz="4" w:space="1" w:color="auto"/>
          <w:right w:val="single" w:sz="4" w:space="4" w:color="auto"/>
        </w:pBdr>
        <w:rPr>
          <w:sz w:val="20"/>
          <w:szCs w:val="20"/>
          <w:lang w:val="sv-SE"/>
        </w:rPr>
      </w:pPr>
    </w:p>
    <w:p w14:paraId="66A87CE7" w14:textId="77777777" w:rsidR="007B191B" w:rsidRPr="00471E6B" w:rsidRDefault="0061350B" w:rsidP="00B449AC">
      <w:pPr>
        <w:pBdr>
          <w:top w:val="single" w:sz="4" w:space="1" w:color="auto"/>
          <w:left w:val="single" w:sz="4" w:space="4" w:color="auto"/>
          <w:bottom w:val="single" w:sz="4" w:space="1" w:color="auto"/>
          <w:right w:val="single" w:sz="4" w:space="4" w:color="auto"/>
        </w:pBdr>
        <w:rPr>
          <w:sz w:val="20"/>
          <w:szCs w:val="20"/>
          <w:lang w:val="sv-SE"/>
        </w:rPr>
      </w:pPr>
      <w:r w:rsidRPr="00471E6B">
        <w:rPr>
          <w:sz w:val="20"/>
          <w:szCs w:val="20"/>
          <w:lang w:val="sv-SE"/>
        </w:rPr>
        <w:t>Detta do</w:t>
      </w:r>
      <w:r w:rsidR="00AA5C8A" w:rsidRPr="00471E6B">
        <w:rPr>
          <w:sz w:val="20"/>
          <w:szCs w:val="20"/>
          <w:lang w:val="sv-SE"/>
        </w:rPr>
        <w:t>k</w:t>
      </w:r>
      <w:r w:rsidRPr="00471E6B">
        <w:rPr>
          <w:sz w:val="20"/>
          <w:szCs w:val="20"/>
          <w:lang w:val="sv-SE"/>
        </w:rPr>
        <w:t xml:space="preserve">ument utgör ett förslag till </w:t>
      </w:r>
      <w:proofErr w:type="spellStart"/>
      <w:r w:rsidRPr="00471E6B">
        <w:rPr>
          <w:sz w:val="20"/>
          <w:szCs w:val="20"/>
          <w:lang w:val="sv-SE"/>
        </w:rPr>
        <w:t>malltext</w:t>
      </w:r>
      <w:proofErr w:type="spellEnd"/>
      <w:r w:rsidRPr="00471E6B">
        <w:rPr>
          <w:sz w:val="20"/>
          <w:szCs w:val="20"/>
          <w:lang w:val="sv-SE"/>
        </w:rPr>
        <w:t xml:space="preserve"> som har tagits fram av en arbetsgrupp inom Svenska Fondhandlareföreningen. Inom ramen för arbetet har synpunkter från ett antal olika intressenter på den svenska obligationsmarknaden inhämtats och beaktats.</w:t>
      </w:r>
    </w:p>
    <w:p w14:paraId="68CCA95E" w14:textId="77777777" w:rsidR="007B191B" w:rsidRPr="00471E6B" w:rsidRDefault="007B191B" w:rsidP="00B449AC">
      <w:pPr>
        <w:pBdr>
          <w:top w:val="single" w:sz="4" w:space="1" w:color="auto"/>
          <w:left w:val="single" w:sz="4" w:space="4" w:color="auto"/>
          <w:bottom w:val="single" w:sz="4" w:space="1" w:color="auto"/>
          <w:right w:val="single" w:sz="4" w:space="4" w:color="auto"/>
        </w:pBdr>
        <w:rPr>
          <w:sz w:val="20"/>
          <w:szCs w:val="20"/>
          <w:lang w:val="sv-SE"/>
        </w:rPr>
      </w:pPr>
      <w:r w:rsidRPr="00471E6B">
        <w:rPr>
          <w:sz w:val="20"/>
          <w:szCs w:val="20"/>
          <w:lang w:val="sv-SE"/>
        </w:rPr>
        <w:t xml:space="preserve">Dokumentet innehåller s.k. </w:t>
      </w:r>
      <w:proofErr w:type="spellStart"/>
      <w:r w:rsidRPr="00471E6B">
        <w:rPr>
          <w:sz w:val="20"/>
          <w:szCs w:val="20"/>
          <w:lang w:val="sv-SE"/>
        </w:rPr>
        <w:t>riders</w:t>
      </w:r>
      <w:proofErr w:type="spellEnd"/>
      <w:r w:rsidRPr="00471E6B">
        <w:rPr>
          <w:sz w:val="20"/>
          <w:szCs w:val="20"/>
          <w:lang w:val="sv-SE"/>
        </w:rPr>
        <w:t xml:space="preserve"> som kan inkluderas i den dokumentation som används vid </w:t>
      </w:r>
      <w:r w:rsidR="000622F1" w:rsidRPr="00471E6B">
        <w:rPr>
          <w:sz w:val="20"/>
          <w:szCs w:val="20"/>
          <w:lang w:val="sv-SE"/>
        </w:rPr>
        <w:t>emissioner</w:t>
      </w:r>
      <w:r w:rsidRPr="00471E6B">
        <w:rPr>
          <w:sz w:val="20"/>
          <w:szCs w:val="20"/>
          <w:lang w:val="sv-SE"/>
        </w:rPr>
        <w:t xml:space="preserve"> av obligationer för att uppfyll</w:t>
      </w:r>
      <w:r w:rsidR="00C85536">
        <w:rPr>
          <w:sz w:val="20"/>
          <w:szCs w:val="20"/>
          <w:lang w:val="sv-SE"/>
        </w:rPr>
        <w:t>a</w:t>
      </w:r>
      <w:r w:rsidRPr="00471E6B">
        <w:rPr>
          <w:sz w:val="20"/>
          <w:szCs w:val="20"/>
          <w:lang w:val="sv-SE"/>
        </w:rPr>
        <w:t xml:space="preserve"> kraven avseende </w:t>
      </w:r>
      <w:proofErr w:type="spellStart"/>
      <w:r w:rsidRPr="00471E6B">
        <w:rPr>
          <w:sz w:val="20"/>
          <w:szCs w:val="20"/>
          <w:lang w:val="sv-SE"/>
        </w:rPr>
        <w:t>product</w:t>
      </w:r>
      <w:proofErr w:type="spellEnd"/>
      <w:r w:rsidRPr="00471E6B">
        <w:rPr>
          <w:sz w:val="20"/>
          <w:szCs w:val="20"/>
          <w:lang w:val="sv-SE"/>
        </w:rPr>
        <w:t xml:space="preserve"> </w:t>
      </w:r>
      <w:proofErr w:type="spellStart"/>
      <w:r w:rsidRPr="00471E6B">
        <w:rPr>
          <w:sz w:val="20"/>
          <w:szCs w:val="20"/>
          <w:lang w:val="sv-SE"/>
        </w:rPr>
        <w:t>governance</w:t>
      </w:r>
      <w:proofErr w:type="spellEnd"/>
      <w:r w:rsidRPr="00471E6B">
        <w:rPr>
          <w:sz w:val="20"/>
          <w:szCs w:val="20"/>
          <w:lang w:val="sv-SE"/>
        </w:rPr>
        <w:t xml:space="preserve"> i </w:t>
      </w:r>
      <w:proofErr w:type="spellStart"/>
      <w:r w:rsidRPr="00471E6B">
        <w:rPr>
          <w:sz w:val="20"/>
          <w:szCs w:val="20"/>
          <w:lang w:val="sv-SE"/>
        </w:rPr>
        <w:t>MiFID</w:t>
      </w:r>
      <w:proofErr w:type="spellEnd"/>
      <w:r w:rsidRPr="00471E6B">
        <w:rPr>
          <w:sz w:val="20"/>
          <w:szCs w:val="20"/>
          <w:lang w:val="sv-SE"/>
        </w:rPr>
        <w:t xml:space="preserve"> II.</w:t>
      </w:r>
    </w:p>
    <w:p w14:paraId="0E8A7A3B" w14:textId="77777777" w:rsidR="007B191B" w:rsidRPr="00471E6B" w:rsidRDefault="007B191B" w:rsidP="00B449AC">
      <w:pPr>
        <w:pBdr>
          <w:top w:val="single" w:sz="4" w:space="1" w:color="auto"/>
          <w:left w:val="single" w:sz="4" w:space="4" w:color="auto"/>
          <w:bottom w:val="single" w:sz="4" w:space="1" w:color="auto"/>
          <w:right w:val="single" w:sz="4" w:space="4" w:color="auto"/>
        </w:pBdr>
        <w:rPr>
          <w:sz w:val="20"/>
          <w:szCs w:val="20"/>
          <w:lang w:val="sv-SE"/>
        </w:rPr>
      </w:pPr>
      <w:r w:rsidRPr="00471E6B">
        <w:rPr>
          <w:sz w:val="20"/>
          <w:szCs w:val="20"/>
          <w:lang w:val="sv-SE"/>
        </w:rPr>
        <w:t>Dokumentet innehåller ett antal fotnoter och texter inom hakparentes</w:t>
      </w:r>
      <w:r w:rsidR="002F20DC" w:rsidRPr="00471E6B">
        <w:rPr>
          <w:sz w:val="20"/>
          <w:szCs w:val="20"/>
          <w:lang w:val="sv-SE"/>
        </w:rPr>
        <w:t>.</w:t>
      </w:r>
      <w:r w:rsidRPr="00471E6B">
        <w:rPr>
          <w:sz w:val="20"/>
          <w:szCs w:val="20"/>
          <w:lang w:val="sv-SE"/>
        </w:rPr>
        <w:t xml:space="preserve"> Det indikerar att texterna kan tas med i de slutliga villkoren beroende på överväganden avseende den specifika emissionen eller att det finns olika alternativ eller uppfattningar avseende den relevanta frågan. Den som använder dokumentet som utgångspunkt för att ta fram villkor har själv att ta ställning till om och i vilken omfattning dessa villkor passar för den aktuella emissionen. </w:t>
      </w:r>
    </w:p>
    <w:p w14:paraId="717FDF4E" w14:textId="77777777" w:rsidR="007B191B" w:rsidRPr="00471E6B" w:rsidRDefault="007B191B" w:rsidP="00B449AC">
      <w:pPr>
        <w:pBdr>
          <w:top w:val="single" w:sz="4" w:space="1" w:color="auto"/>
          <w:left w:val="single" w:sz="4" w:space="4" w:color="auto"/>
          <w:bottom w:val="single" w:sz="4" w:space="1" w:color="auto"/>
          <w:right w:val="single" w:sz="4" w:space="4" w:color="auto"/>
        </w:pBdr>
        <w:rPr>
          <w:sz w:val="20"/>
          <w:szCs w:val="20"/>
          <w:lang w:val="sv-SE"/>
        </w:rPr>
      </w:pPr>
      <w:r w:rsidRPr="00471E6B">
        <w:rPr>
          <w:sz w:val="20"/>
          <w:szCs w:val="20"/>
          <w:lang w:val="sv-SE"/>
        </w:rPr>
        <w:t xml:space="preserve">Dokumentet reflekterar inte marknadspraxis och utgör inte heller någon standard. Den som använder dokumentet som utgångspunkt för att ta fram villkor måste göra sin egen bedömning och har själv att ta ställning till om och i vilken omfattning dessa villkor passar för den aktuella emissionen, dvs. varje användare bör involvera sin egen legala rådgivare och ansvarar själv för att texten uppfyller tillämpliga lagar, regler och föreskrifter. </w:t>
      </w:r>
    </w:p>
    <w:p w14:paraId="51A6A42D" w14:textId="77777777" w:rsidR="007B191B" w:rsidRPr="00471E6B" w:rsidRDefault="007B191B" w:rsidP="00B449AC">
      <w:pPr>
        <w:pBdr>
          <w:top w:val="single" w:sz="4" w:space="1" w:color="auto"/>
          <w:left w:val="single" w:sz="4" w:space="4" w:color="auto"/>
          <w:bottom w:val="single" w:sz="4" w:space="1" w:color="auto"/>
          <w:right w:val="single" w:sz="4" w:space="4" w:color="auto"/>
        </w:pBdr>
        <w:rPr>
          <w:sz w:val="20"/>
          <w:szCs w:val="20"/>
          <w:lang w:val="sv-SE"/>
        </w:rPr>
      </w:pPr>
      <w:r w:rsidRPr="00471E6B">
        <w:rPr>
          <w:sz w:val="20"/>
          <w:szCs w:val="20"/>
          <w:lang w:val="sv-SE"/>
        </w:rPr>
        <w:t>Svenska Fondhandlareföreningens medlemmar och andra som använder dokumentet uppmanas at</w:t>
      </w:r>
      <w:r w:rsidR="00F02C3A">
        <w:rPr>
          <w:sz w:val="20"/>
          <w:szCs w:val="20"/>
          <w:lang w:val="sv-SE"/>
        </w:rPr>
        <w:t>t</w:t>
      </w:r>
      <w:r w:rsidRPr="00471E6B">
        <w:rPr>
          <w:sz w:val="20"/>
          <w:szCs w:val="20"/>
          <w:lang w:val="sv-SE"/>
        </w:rPr>
        <w:t xml:space="preserve"> skicka in eventuella synpunkter på dokumentet till kansliet per email. </w:t>
      </w:r>
      <w:r w:rsidR="00F02C3A">
        <w:rPr>
          <w:sz w:val="20"/>
          <w:szCs w:val="20"/>
          <w:lang w:val="sv-SE"/>
        </w:rPr>
        <w:t xml:space="preserve">Dokumentet kommer att uppdateras med jämna mellanrum. </w:t>
      </w:r>
    </w:p>
    <w:p w14:paraId="00F54178" w14:textId="77777777" w:rsidR="008413F4" w:rsidRDefault="007B191B" w:rsidP="00471E6B">
      <w:pPr>
        <w:pBdr>
          <w:top w:val="single" w:sz="4" w:space="1" w:color="auto"/>
          <w:left w:val="single" w:sz="4" w:space="4" w:color="auto"/>
          <w:bottom w:val="single" w:sz="4" w:space="1" w:color="auto"/>
          <w:right w:val="single" w:sz="4" w:space="4" w:color="auto"/>
        </w:pBdr>
        <w:rPr>
          <w:sz w:val="20"/>
          <w:szCs w:val="20"/>
          <w:lang w:val="sv-SE"/>
        </w:rPr>
      </w:pPr>
      <w:r w:rsidRPr="00471E6B">
        <w:rPr>
          <w:sz w:val="20"/>
          <w:szCs w:val="20"/>
          <w:lang w:val="sv-SE"/>
        </w:rPr>
        <w:t>Kansliets kontaktperson: Erica Johansson (</w:t>
      </w:r>
      <w:hyperlink r:id="rId11" w:history="1">
        <w:r w:rsidRPr="00471E6B">
          <w:rPr>
            <w:rStyle w:val="Hyperlnk"/>
            <w:sz w:val="20"/>
            <w:szCs w:val="20"/>
            <w:lang w:val="sv-SE"/>
          </w:rPr>
          <w:t>erica@fondhandlarna.se</w:t>
        </w:r>
      </w:hyperlink>
      <w:r w:rsidRPr="00471E6B">
        <w:rPr>
          <w:sz w:val="20"/>
          <w:szCs w:val="20"/>
          <w:lang w:val="sv-SE"/>
        </w:rPr>
        <w:t>; +46 8 562 607 05)</w:t>
      </w:r>
      <w:r w:rsidRPr="00471E6B">
        <w:rPr>
          <w:sz w:val="20"/>
          <w:szCs w:val="20"/>
          <w:lang w:val="sv-SE"/>
        </w:rPr>
        <w:br/>
        <w:t xml:space="preserve">Svenska Fondhandlareföreningen (Swedish </w:t>
      </w:r>
      <w:proofErr w:type="spellStart"/>
      <w:r w:rsidRPr="00471E6B">
        <w:rPr>
          <w:sz w:val="20"/>
          <w:szCs w:val="20"/>
          <w:lang w:val="sv-SE"/>
        </w:rPr>
        <w:t>Securities</w:t>
      </w:r>
      <w:proofErr w:type="spellEnd"/>
      <w:r w:rsidRPr="00471E6B">
        <w:rPr>
          <w:sz w:val="20"/>
          <w:szCs w:val="20"/>
          <w:lang w:val="sv-SE"/>
        </w:rPr>
        <w:t xml:space="preserve"> </w:t>
      </w:r>
      <w:proofErr w:type="spellStart"/>
      <w:r w:rsidRPr="00471E6B">
        <w:rPr>
          <w:sz w:val="20"/>
          <w:szCs w:val="20"/>
          <w:lang w:val="sv-SE"/>
        </w:rPr>
        <w:t>Dealers</w:t>
      </w:r>
      <w:proofErr w:type="spellEnd"/>
      <w:r w:rsidRPr="00471E6B">
        <w:rPr>
          <w:sz w:val="20"/>
          <w:szCs w:val="20"/>
          <w:lang w:val="sv-SE"/>
        </w:rPr>
        <w:t xml:space="preserve"> Association)</w:t>
      </w:r>
      <w:r w:rsidRPr="00471E6B">
        <w:rPr>
          <w:sz w:val="20"/>
          <w:szCs w:val="20"/>
          <w:lang w:val="sv-SE"/>
        </w:rPr>
        <w:br/>
        <w:t>Postadress: Box 1426, 111 84 Stockholm</w:t>
      </w:r>
      <w:r w:rsidRPr="00471E6B">
        <w:rPr>
          <w:sz w:val="20"/>
          <w:szCs w:val="20"/>
          <w:lang w:val="sv-SE"/>
        </w:rPr>
        <w:br/>
        <w:t xml:space="preserve">Adress: </w:t>
      </w:r>
      <w:r w:rsidR="005A13EB" w:rsidRPr="00471E6B">
        <w:rPr>
          <w:sz w:val="20"/>
          <w:szCs w:val="20"/>
          <w:lang w:val="sv-SE"/>
        </w:rPr>
        <w:t xml:space="preserve">SE - </w:t>
      </w:r>
      <w:r w:rsidRPr="00471E6B">
        <w:rPr>
          <w:sz w:val="20"/>
          <w:szCs w:val="20"/>
          <w:lang w:val="sv-SE"/>
        </w:rPr>
        <w:t xml:space="preserve">Blasieholmsgatan 4B, 4 </w:t>
      </w:r>
      <w:proofErr w:type="spellStart"/>
      <w:r w:rsidRPr="00471E6B">
        <w:rPr>
          <w:sz w:val="20"/>
          <w:szCs w:val="20"/>
          <w:lang w:val="sv-SE"/>
        </w:rPr>
        <w:t>tr</w:t>
      </w:r>
      <w:proofErr w:type="spellEnd"/>
      <w:r w:rsidR="000622F1" w:rsidRPr="00471E6B">
        <w:rPr>
          <w:sz w:val="20"/>
          <w:szCs w:val="20"/>
          <w:lang w:val="sv-SE"/>
        </w:rPr>
        <w:br/>
      </w:r>
      <w:hyperlink r:id="rId12" w:history="1">
        <w:r w:rsidR="008413F4" w:rsidRPr="005F34E4">
          <w:rPr>
            <w:rStyle w:val="Hyperlnk"/>
            <w:sz w:val="20"/>
            <w:szCs w:val="20"/>
            <w:lang w:val="sv-SE"/>
          </w:rPr>
          <w:t>www.fondhandlarna.se</w:t>
        </w:r>
      </w:hyperlink>
      <w:r w:rsidRPr="00471E6B">
        <w:rPr>
          <w:sz w:val="20"/>
          <w:szCs w:val="20"/>
          <w:lang w:val="sv-SE"/>
        </w:rPr>
        <w:t xml:space="preserve"> </w:t>
      </w:r>
    </w:p>
    <w:p w14:paraId="5BDD5A61" w14:textId="77777777" w:rsidR="007B191B" w:rsidRPr="00471E6B" w:rsidRDefault="000E7EEF" w:rsidP="00471E6B">
      <w:pPr>
        <w:pBdr>
          <w:top w:val="single" w:sz="4" w:space="1" w:color="auto"/>
          <w:left w:val="single" w:sz="4" w:space="4" w:color="auto"/>
          <w:bottom w:val="single" w:sz="4" w:space="1" w:color="auto"/>
          <w:right w:val="single" w:sz="4" w:space="4" w:color="auto"/>
        </w:pBdr>
        <w:rPr>
          <w:sz w:val="20"/>
          <w:szCs w:val="20"/>
          <w:lang w:val="sv-SE"/>
        </w:rPr>
      </w:pPr>
      <w:r>
        <w:rPr>
          <w:sz w:val="20"/>
          <w:szCs w:val="20"/>
          <w:lang w:val="sv-SE"/>
        </w:rPr>
        <w:br/>
      </w:r>
    </w:p>
    <w:sectPr w:rsidR="007B191B" w:rsidRPr="00471E6B" w:rsidSect="00380824">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42AF7" w14:textId="77777777" w:rsidR="007E0768" w:rsidRDefault="007E0768">
      <w:r>
        <w:separator/>
      </w:r>
    </w:p>
  </w:endnote>
  <w:endnote w:type="continuationSeparator" w:id="0">
    <w:p w14:paraId="495F16C3" w14:textId="77777777" w:rsidR="007E0768" w:rsidRDefault="007E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0E10" w14:textId="77777777" w:rsidR="007036BE" w:rsidRDefault="007036B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ABD6" w14:textId="77777777" w:rsidR="007036BE" w:rsidRDefault="007036B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BF77" w14:textId="77777777" w:rsidR="003D331E" w:rsidRDefault="003D331E" w:rsidP="009C2AFE">
    <w:pPr>
      <w:spacing w:before="200" w:after="200" w:line="288" w:lineRule="auto"/>
      <w:jc w:val="center"/>
      <w:rPr>
        <w:rFonts w:ascii="CG Times" w:hAnsi="CG Times"/>
        <w:b/>
        <w:bCs/>
        <w:sz w:val="16"/>
        <w:lang w:eastAsia="en-US"/>
      </w:rPr>
    </w:pPr>
    <w:r w:rsidRPr="00DD041A">
      <w:rPr>
        <w:rFonts w:ascii="Symbol" w:hAnsi="Symbol"/>
        <w:b/>
        <w:bCs/>
        <w:sz w:val="20"/>
        <w:szCs w:val="22"/>
      </w:rPr>
      <w:t></w:t>
    </w:r>
    <w:r w:rsidRPr="00DD041A">
      <w:rPr>
        <w:rFonts w:ascii="Symbol" w:hAnsi="Symbol"/>
        <w:sz w:val="20"/>
        <w:szCs w:val="22"/>
      </w:rPr>
      <w:t></w:t>
    </w:r>
    <w:r w:rsidRPr="00DD041A">
      <w:rPr>
        <w:b/>
        <w:sz w:val="16"/>
      </w:rPr>
      <w:t>S</w:t>
    </w:r>
    <w:r w:rsidR="007036BE">
      <w:rPr>
        <w:b/>
        <w:sz w:val="16"/>
      </w:rPr>
      <w:t xml:space="preserve">venska </w:t>
    </w:r>
    <w:proofErr w:type="spellStart"/>
    <w:r w:rsidR="007036BE">
      <w:rPr>
        <w:b/>
        <w:sz w:val="16"/>
      </w:rPr>
      <w:t>Fondhandlareföreningens</w:t>
    </w:r>
    <w:proofErr w:type="spellEnd"/>
    <w:r w:rsidR="007036BE">
      <w:rPr>
        <w:b/>
        <w:sz w:val="16"/>
      </w:rPr>
      <w:t xml:space="preserve"> Service AB</w:t>
    </w:r>
    <w:r w:rsidRPr="00DD041A">
      <w:rPr>
        <w:b/>
        <w:sz w:val="16"/>
      </w:rPr>
      <w:t>. All rights reserved.</w:t>
    </w:r>
  </w:p>
  <w:p w14:paraId="14E5251B" w14:textId="77777777" w:rsidR="003D331E" w:rsidRDefault="003D331E">
    <w:pPr>
      <w:pStyle w:val="Sidfot"/>
    </w:pPr>
  </w:p>
  <w:p w14:paraId="35CD2D5D" w14:textId="77777777" w:rsidR="003D331E" w:rsidRDefault="003D33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59D97" w14:textId="77777777" w:rsidR="007E0768" w:rsidRDefault="007E0768">
      <w:r>
        <w:separator/>
      </w:r>
    </w:p>
  </w:footnote>
  <w:footnote w:type="continuationSeparator" w:id="0">
    <w:p w14:paraId="3EF0A025" w14:textId="77777777" w:rsidR="007E0768" w:rsidRDefault="007E0768">
      <w:r>
        <w:continuationSeparator/>
      </w:r>
    </w:p>
  </w:footnote>
  <w:footnote w:id="1">
    <w:p w14:paraId="6872FD1E" w14:textId="77777777" w:rsidR="003D331E" w:rsidRPr="008B054A" w:rsidRDefault="003D331E" w:rsidP="008B054A">
      <w:pPr>
        <w:pStyle w:val="Fotnotstext"/>
        <w:rPr>
          <w:i/>
          <w:lang w:val="sv-SE"/>
        </w:rPr>
      </w:pPr>
      <w:r>
        <w:rPr>
          <w:rStyle w:val="Fotnotsreferens"/>
        </w:rPr>
        <w:footnoteRef/>
      </w:r>
      <w:r w:rsidRPr="008B054A">
        <w:rPr>
          <w:lang w:val="sv-SE"/>
        </w:rPr>
        <w:t xml:space="preserve"> Om information om målmarknaden inte inkluderas i de slutliga villkoren så bör den första meningen uppdateras, exempelvis i enlighet med följande text: ”</w:t>
      </w:r>
      <w:r w:rsidRPr="008B054A">
        <w:rPr>
          <w:i/>
          <w:lang w:val="sv-SE"/>
        </w:rPr>
        <w:t>I förhållande till varje emission av [Obligationerna] kommer en målmarknadsbedömning att göras för [Obligationerna] och lämpliga distributionskanaler för [Obligationerna] kommer att bestämmas.</w:t>
      </w:r>
      <w:r w:rsidRPr="008B054A">
        <w:rPr>
          <w:lang w:val="sv-SE"/>
        </w:rPr>
        <w:t>”.</w:t>
      </w:r>
    </w:p>
  </w:footnote>
  <w:footnote w:id="2">
    <w:p w14:paraId="1E6549E8" w14:textId="77777777" w:rsidR="003D331E" w:rsidRPr="008B054A" w:rsidRDefault="003D331E" w:rsidP="008B054A">
      <w:pPr>
        <w:pStyle w:val="Fotnotstext"/>
        <w:rPr>
          <w:lang w:val="sv-SE"/>
        </w:rPr>
      </w:pPr>
      <w:r>
        <w:rPr>
          <w:rStyle w:val="Fotnotsreferens"/>
        </w:rPr>
        <w:footnoteRef/>
      </w:r>
      <w:r w:rsidRPr="008B054A">
        <w:rPr>
          <w:lang w:val="sv-SE"/>
        </w:rPr>
        <w:t xml:space="preserve"> Vid varje emission ska en bedömning göras om huruvida de involverade bolagen skapar, utvecklar, utformar eller ger ut det finansiella instrumentet, eller, i förhållande till bolag som inte träffas av </w:t>
      </w:r>
      <w:proofErr w:type="spellStart"/>
      <w:r w:rsidRPr="008B054A">
        <w:rPr>
          <w:lang w:val="sv-SE"/>
        </w:rPr>
        <w:t>MiFID</w:t>
      </w:r>
      <w:proofErr w:type="spellEnd"/>
      <w:r w:rsidRPr="008B054A">
        <w:rPr>
          <w:lang w:val="sv-SE"/>
        </w:rPr>
        <w:t xml:space="preserve"> II, huruvida de ger råd till </w:t>
      </w:r>
      <w:proofErr w:type="spellStart"/>
      <w:r w:rsidRPr="008B054A">
        <w:rPr>
          <w:lang w:val="sv-SE"/>
        </w:rPr>
        <w:t>emittenten</w:t>
      </w:r>
      <w:proofErr w:type="spellEnd"/>
      <w:r w:rsidRPr="008B054A">
        <w:rPr>
          <w:lang w:val="sv-SE"/>
        </w:rPr>
        <w:t xml:space="preserve"> i fråga. </w:t>
      </w:r>
    </w:p>
  </w:footnote>
  <w:footnote w:id="3">
    <w:p w14:paraId="2ED1133D" w14:textId="77777777" w:rsidR="003D331E" w:rsidRPr="008B054A" w:rsidRDefault="003D331E" w:rsidP="008B054A">
      <w:pPr>
        <w:pStyle w:val="Fotnotstext"/>
        <w:rPr>
          <w:lang w:val="sv-SE"/>
        </w:rPr>
      </w:pPr>
      <w:r>
        <w:rPr>
          <w:rStyle w:val="Fotnotsreferens"/>
        </w:rPr>
        <w:footnoteRef/>
      </w:r>
      <w:r w:rsidRPr="008B054A">
        <w:rPr>
          <w:lang w:val="sv-SE"/>
        </w:rPr>
        <w:t xml:space="preserve"> Det ska beaktas huruvida produkten skulle vara oförenlig med behoven, egenskaperna eller målen hos vissa kunder (dvs. den negativa målmarknaden). Den negativa målmarknaden är inte nödvändigtvis motsatsen till den positiva målmarknaden, och det är inte sannolikt att frånvaron av en uttrycklig negativ målmarknad skulle leda till att den negativa målmarknaden bestäms motsatsvis i förhållande till den positiva målmarknaden (se ESMA PG riktlinjer paragraf 68 och </w:t>
      </w:r>
      <w:proofErr w:type="spellStart"/>
      <w:r w:rsidRPr="008B054A">
        <w:rPr>
          <w:lang w:val="sv-SE"/>
        </w:rPr>
        <w:t>ESMA:s</w:t>
      </w:r>
      <w:proofErr w:type="spellEnd"/>
      <w:r w:rsidRPr="008B054A">
        <w:rPr>
          <w:lang w:val="sv-SE"/>
        </w:rPr>
        <w:t xml:space="preserve"> slutliga rapport om riktlinjer för </w:t>
      </w:r>
      <w:proofErr w:type="spellStart"/>
      <w:r w:rsidRPr="008B054A">
        <w:rPr>
          <w:lang w:val="sv-SE"/>
        </w:rPr>
        <w:t>MiFID</w:t>
      </w:r>
      <w:proofErr w:type="spellEnd"/>
      <w:r w:rsidRPr="008B054A">
        <w:rPr>
          <w:lang w:val="sv-SE"/>
        </w:rPr>
        <w:t xml:space="preserve"> II:s produktstyrningskrav paragraf 52). Producenter och distributörer kan samarbeta för att fastställa målmarknaden. Producenterna och distributörerna behåller dock sitt ansvar för att identifiera en målmarknad i enlighet med </w:t>
      </w:r>
      <w:proofErr w:type="spellStart"/>
      <w:r w:rsidRPr="008B054A">
        <w:rPr>
          <w:lang w:val="sv-SE"/>
        </w:rPr>
        <w:t>MiFID</w:t>
      </w:r>
      <w:proofErr w:type="spellEnd"/>
      <w:r w:rsidRPr="008B054A">
        <w:rPr>
          <w:lang w:val="sv-SE"/>
        </w:rPr>
        <w:t xml:space="preserve"> II och </w:t>
      </w:r>
      <w:proofErr w:type="spellStart"/>
      <w:r w:rsidRPr="008B054A">
        <w:rPr>
          <w:lang w:val="sv-SE"/>
        </w:rPr>
        <w:t>MiFID</w:t>
      </w:r>
      <w:proofErr w:type="spellEnd"/>
      <w:r w:rsidRPr="008B054A">
        <w:rPr>
          <w:lang w:val="sv-SE"/>
        </w:rPr>
        <w:t xml:space="preserve"> II:s delegerade direktiv och ytterligare beskrivet i ESMA PG:s riktlinjer om identifiering av en målmarknad (se ESMA PG:s riktlinjer paragraf 39). Baserat på uppfattningen att producenten behåller sitt ansvar, framstår det inte vara förenligt med riktlinjerna att underlåta att bestämma en negativ målmarknad (om någon) genom att hänvisa till distributörens negativa målmarknad. </w:t>
      </w:r>
    </w:p>
  </w:footnote>
  <w:footnote w:id="4">
    <w:p w14:paraId="25DBC95A" w14:textId="77777777" w:rsidR="003D331E" w:rsidRPr="008B054A" w:rsidRDefault="003D331E" w:rsidP="008B054A">
      <w:pPr>
        <w:pStyle w:val="Fotnotstext"/>
        <w:rPr>
          <w:lang w:val="sv-SE"/>
        </w:rPr>
      </w:pPr>
      <w:r w:rsidRPr="008B054A">
        <w:rPr>
          <w:lang w:val="sv-SE"/>
        </w:rPr>
        <w:t xml:space="preserve">Samma kriterier som tillämpas vid fastställandet av målmarknaden bör användas vid bedömningen av den negativa målmarknaden. Se </w:t>
      </w:r>
      <w:proofErr w:type="spellStart"/>
      <w:r w:rsidRPr="008B054A">
        <w:rPr>
          <w:lang w:val="sv-SE"/>
        </w:rPr>
        <w:t>ESMA:s</w:t>
      </w:r>
      <w:proofErr w:type="spellEnd"/>
      <w:r w:rsidRPr="008B054A">
        <w:rPr>
          <w:lang w:val="sv-SE"/>
        </w:rPr>
        <w:t xml:space="preserve"> PG riktlinjer paragrafer 67-74 och Finansinspektionens beslutspromemoria s. 35. Det kan vidare noteras att praxis på den europeiska kapitalmarknaden (liksom den ståndpunkt som tagits av ICMA) verkar vara att en negativ målmarknad sällan eller aldrig identifieras. Denna uppfattning delas av diverse intresseorganisationer inom finansmarknadsområdet, vilka har betonat att särdragen och egenskaperna hos icke-komplexa finansiella instrument (såsom stamaktier och obligationer som är upptagna till handel) tillsammans med PG:s proportionalitetsregler öppnar upp för möjligheten att inte fastställa en negativ målmarknad.</w:t>
      </w:r>
    </w:p>
    <w:p w14:paraId="7BC85264" w14:textId="77777777" w:rsidR="003D331E" w:rsidRPr="008B054A" w:rsidRDefault="003D331E" w:rsidP="008B054A">
      <w:pPr>
        <w:pStyle w:val="Fotnotstext"/>
        <w:rPr>
          <w:lang w:val="sv-SE"/>
        </w:rPr>
      </w:pPr>
      <w:r>
        <w:rPr>
          <w:rStyle w:val="Fotnotsreferens"/>
        </w:rPr>
        <w:footnoteRef/>
      </w:r>
      <w:r w:rsidRPr="008B054A">
        <w:rPr>
          <w:lang w:val="sv-SE"/>
        </w:rPr>
        <w:t xml:space="preserve"> Målmarknadsbedömningen är baserad på icke-komplexa företagsobligationer. För att undvika risken för feltolkningar och missförstånd ska producenter tydligt definiera koncepten och terminologin som används när en målmarknad bestäms (se </w:t>
      </w:r>
      <w:proofErr w:type="spellStart"/>
      <w:r w:rsidRPr="008B054A">
        <w:rPr>
          <w:lang w:val="sv-SE"/>
        </w:rPr>
        <w:t>ESMA:s</w:t>
      </w:r>
      <w:proofErr w:type="spellEnd"/>
      <w:r w:rsidRPr="008B054A">
        <w:rPr>
          <w:lang w:val="sv-SE"/>
        </w:rPr>
        <w:t xml:space="preserve"> PG riktlinjer paragraf 20). Om det däremot finns en gemensam förståelse kring konceptet och terminologin som har kommuniceras mellan producenter och distributörer, är det sannolikt att ovannämnda tillägg av beskrivningar och definitioner kan begränsas. Texten i punkterna (b) och (d)-(e) förutsätter att det finns en gemensam överenskommelse/mall som definierar terminologin, till exempel </w:t>
      </w:r>
      <w:proofErr w:type="spellStart"/>
      <w:r w:rsidRPr="008B054A">
        <w:rPr>
          <w:lang w:val="sv-SE"/>
        </w:rPr>
        <w:t>European</w:t>
      </w:r>
      <w:proofErr w:type="spellEnd"/>
      <w:r w:rsidRPr="008B054A">
        <w:rPr>
          <w:lang w:val="sv-SE"/>
        </w:rPr>
        <w:t xml:space="preserve"> </w:t>
      </w:r>
      <w:proofErr w:type="spellStart"/>
      <w:r w:rsidRPr="008B054A">
        <w:rPr>
          <w:lang w:val="sv-SE"/>
        </w:rPr>
        <w:t>MiFID</w:t>
      </w:r>
      <w:proofErr w:type="spellEnd"/>
      <w:r w:rsidRPr="008B054A">
        <w:rPr>
          <w:lang w:val="sv-SE"/>
        </w:rPr>
        <w:t xml:space="preserve"> Template. I annat fall ska ytterligare förklaringar inkluderas för att undvika icke-definierad terminologi.</w:t>
      </w:r>
    </w:p>
  </w:footnote>
  <w:footnote w:id="5">
    <w:p w14:paraId="4F0DB838" w14:textId="77777777" w:rsidR="003D331E" w:rsidRPr="008B054A" w:rsidRDefault="003D331E" w:rsidP="008B054A">
      <w:pPr>
        <w:pStyle w:val="Fotnotstext"/>
        <w:rPr>
          <w:lang w:val="sv-SE"/>
        </w:rPr>
      </w:pPr>
      <w:r>
        <w:rPr>
          <w:rStyle w:val="Fotnotsreferens"/>
        </w:rPr>
        <w:footnoteRef/>
      </w:r>
      <w:r w:rsidRPr="008B054A">
        <w:rPr>
          <w:lang w:val="sv-SE"/>
        </w:rPr>
        <w:t xml:space="preserve"> Beskrivningen ska vara så tydlig som möjligt och icke-definierad terminologi ska undvikas för att underlätta för varje distributörs förståelse av målmarknaden (se ESMA PG riktlinjer paragraf 20). </w:t>
      </w:r>
    </w:p>
  </w:footnote>
  <w:footnote w:id="6">
    <w:p w14:paraId="5C6119C7" w14:textId="77777777" w:rsidR="003D331E" w:rsidRPr="008B054A" w:rsidRDefault="003D331E" w:rsidP="008B054A">
      <w:pPr>
        <w:pStyle w:val="Fotnotstext"/>
        <w:rPr>
          <w:lang w:val="sv-SE"/>
        </w:rPr>
      </w:pPr>
      <w:r>
        <w:rPr>
          <w:rStyle w:val="Fotnotsreferens"/>
        </w:rPr>
        <w:footnoteRef/>
      </w:r>
      <w:r w:rsidRPr="008B054A">
        <w:rPr>
          <w:lang w:val="sv-SE"/>
        </w:rPr>
        <w:t xml:space="preserve"> Se ESMA PG riktlinjer paragrafer 13-20 och Finansinspektionens beslutspromemoria s. 33-35.</w:t>
      </w:r>
    </w:p>
  </w:footnote>
  <w:footnote w:id="7">
    <w:p w14:paraId="1426D48B" w14:textId="77777777" w:rsidR="003D331E" w:rsidRPr="008B054A" w:rsidRDefault="003D331E" w:rsidP="008B054A">
      <w:pPr>
        <w:pStyle w:val="Fotnotstext"/>
        <w:rPr>
          <w:lang w:val="sv-SE"/>
        </w:rPr>
      </w:pPr>
      <w:r>
        <w:rPr>
          <w:rStyle w:val="Fotnotsreferens"/>
        </w:rPr>
        <w:footnoteRef/>
      </w:r>
      <w:r w:rsidRPr="008B054A">
        <w:rPr>
          <w:lang w:val="sv-SE"/>
        </w:rPr>
        <w:t xml:space="preserve"> Se </w:t>
      </w:r>
      <w:proofErr w:type="spellStart"/>
      <w:r w:rsidRPr="008B054A">
        <w:rPr>
          <w:lang w:val="sv-SE"/>
        </w:rPr>
        <w:t>ESMA:s</w:t>
      </w:r>
      <w:proofErr w:type="spellEnd"/>
      <w:r w:rsidRPr="008B054A">
        <w:rPr>
          <w:lang w:val="sv-SE"/>
        </w:rPr>
        <w:t xml:space="preserve"> PG riktlinjer paragrafer 13-20 och Finansinspektionens beslutspromemoria s. 33-35.</w:t>
      </w:r>
    </w:p>
  </w:footnote>
  <w:footnote w:id="8">
    <w:p w14:paraId="30B48587" w14:textId="77777777" w:rsidR="003D331E" w:rsidRPr="008B054A" w:rsidRDefault="003D331E" w:rsidP="008B054A">
      <w:pPr>
        <w:pStyle w:val="Fotnotstext"/>
        <w:rPr>
          <w:lang w:val="sv-SE"/>
        </w:rPr>
      </w:pPr>
      <w:r>
        <w:rPr>
          <w:rStyle w:val="Fotnotsreferens"/>
        </w:rPr>
        <w:footnoteRef/>
      </w:r>
      <w:r w:rsidRPr="008B054A">
        <w:rPr>
          <w:lang w:val="sv-SE"/>
        </w:rPr>
        <w:t xml:space="preserve"> Se </w:t>
      </w:r>
      <w:proofErr w:type="spellStart"/>
      <w:r w:rsidRPr="008B054A">
        <w:rPr>
          <w:lang w:val="sv-SE"/>
        </w:rPr>
        <w:t>ESMA:s</w:t>
      </w:r>
      <w:proofErr w:type="spellEnd"/>
      <w:r w:rsidRPr="008B054A">
        <w:rPr>
          <w:lang w:val="sv-SE"/>
        </w:rPr>
        <w:t xml:space="preserve"> PG riktlinjer paragrafer 13-20 och Finansinspektionens beslutspromemoria s. 33-35.</w:t>
      </w:r>
    </w:p>
  </w:footnote>
  <w:footnote w:id="9">
    <w:p w14:paraId="18736C41" w14:textId="77777777" w:rsidR="003D331E" w:rsidRPr="008B054A" w:rsidRDefault="003D331E" w:rsidP="008B054A">
      <w:pPr>
        <w:pStyle w:val="Fotnotstext"/>
        <w:rPr>
          <w:lang w:val="sv-SE"/>
        </w:rPr>
      </w:pPr>
      <w:r>
        <w:rPr>
          <w:rStyle w:val="Fotnotsreferens"/>
        </w:rPr>
        <w:footnoteRef/>
      </w:r>
      <w:r w:rsidRPr="008B054A">
        <w:rPr>
          <w:lang w:val="sv-SE"/>
        </w:rPr>
        <w:t xml:space="preserve"> Se </w:t>
      </w:r>
      <w:proofErr w:type="spellStart"/>
      <w:r w:rsidRPr="008B054A">
        <w:rPr>
          <w:lang w:val="sv-SE"/>
        </w:rPr>
        <w:t>ESMA:s</w:t>
      </w:r>
      <w:proofErr w:type="spellEnd"/>
      <w:r w:rsidRPr="008B054A">
        <w:rPr>
          <w:lang w:val="sv-SE"/>
        </w:rPr>
        <w:t xml:space="preserve"> PG riktlinjer paragrafer 13-20 och Finansinspektionens beslutspromemoria s. 33-35.</w:t>
      </w:r>
    </w:p>
  </w:footnote>
  <w:footnote w:id="10">
    <w:p w14:paraId="1F0CB5C8" w14:textId="77777777" w:rsidR="003D331E" w:rsidRPr="008B054A" w:rsidRDefault="003D331E" w:rsidP="008B054A">
      <w:pPr>
        <w:pStyle w:val="Fotnotstext"/>
        <w:rPr>
          <w:i/>
          <w:lang w:val="sv-SE"/>
        </w:rPr>
      </w:pPr>
      <w:r>
        <w:rPr>
          <w:rStyle w:val="Fotnotsreferens"/>
        </w:rPr>
        <w:footnoteRef/>
      </w:r>
      <w:r w:rsidRPr="008B054A">
        <w:rPr>
          <w:lang w:val="sv-SE"/>
        </w:rPr>
        <w:t xml:space="preserve"> Att inkludera om en </w:t>
      </w:r>
      <w:proofErr w:type="spellStart"/>
      <w:r w:rsidRPr="008B054A">
        <w:rPr>
          <w:lang w:val="sv-SE"/>
        </w:rPr>
        <w:t>PRIIP:s</w:t>
      </w:r>
      <w:proofErr w:type="spellEnd"/>
      <w:r w:rsidRPr="008B054A">
        <w:rPr>
          <w:lang w:val="sv-SE"/>
        </w:rPr>
        <w:t xml:space="preserve"> KIID har tagits fram för [Obligationerna] i fråga: ”</w:t>
      </w:r>
      <w:r w:rsidRPr="008B054A">
        <w:rPr>
          <w:i/>
          <w:lang w:val="sv-SE"/>
        </w:rPr>
        <w:t>[Obligationerna] har risken [●] på en skala där 7 är den högsta risken, såsom definierat i [Förordning (EU) nr 1286/2014 (”</w:t>
      </w:r>
      <w:proofErr w:type="spellStart"/>
      <w:r w:rsidRPr="008B054A">
        <w:rPr>
          <w:b/>
          <w:i/>
          <w:lang w:val="sv-SE"/>
        </w:rPr>
        <w:t>PRIIPs</w:t>
      </w:r>
      <w:proofErr w:type="spellEnd"/>
      <w:r w:rsidRPr="008B054A">
        <w:rPr>
          <w:b/>
          <w:i/>
          <w:lang w:val="sv-SE"/>
        </w:rPr>
        <w:t>- förordningen</w:t>
      </w:r>
      <w:r w:rsidRPr="008B054A">
        <w:rPr>
          <w:i/>
          <w:lang w:val="sv-SE"/>
        </w:rPr>
        <w:t xml:space="preserve">”)/ </w:t>
      </w:r>
      <w:proofErr w:type="spellStart"/>
      <w:r w:rsidRPr="008B054A">
        <w:rPr>
          <w:i/>
          <w:lang w:val="sv-SE"/>
        </w:rPr>
        <w:t>PRIIP:s</w:t>
      </w:r>
      <w:proofErr w:type="spellEnd"/>
      <w:r w:rsidRPr="008B054A">
        <w:rPr>
          <w:i/>
          <w:lang w:val="sv-SE"/>
        </w:rPr>
        <w:t>]</w:t>
      </w:r>
      <w:r w:rsidRPr="008B054A">
        <w:rPr>
          <w:lang w:val="sv-SE"/>
        </w:rPr>
        <w:t>”.</w:t>
      </w:r>
    </w:p>
  </w:footnote>
  <w:footnote w:id="11">
    <w:p w14:paraId="45A68E07" w14:textId="77777777" w:rsidR="003D331E" w:rsidRPr="008B054A" w:rsidRDefault="003D331E" w:rsidP="008B054A">
      <w:pPr>
        <w:pStyle w:val="Fotnotstext"/>
        <w:rPr>
          <w:lang w:val="sv-SE"/>
        </w:rPr>
      </w:pPr>
      <w:r>
        <w:rPr>
          <w:rStyle w:val="Fotnotsreferens"/>
        </w:rPr>
        <w:footnoteRef/>
      </w:r>
      <w:r w:rsidRPr="008B054A">
        <w:rPr>
          <w:lang w:val="sv-SE"/>
        </w:rPr>
        <w:t xml:space="preserve"> Se </w:t>
      </w:r>
      <w:proofErr w:type="spellStart"/>
      <w:r w:rsidRPr="008B054A">
        <w:rPr>
          <w:lang w:val="sv-SE"/>
        </w:rPr>
        <w:t>ESMA:s</w:t>
      </w:r>
      <w:proofErr w:type="spellEnd"/>
      <w:r w:rsidRPr="008B054A">
        <w:rPr>
          <w:lang w:val="sv-SE"/>
        </w:rPr>
        <w:t xml:space="preserve"> PG riktlinjer paragrafer 13-20 och Finansinspektionens beslutspromemoria s. 33-35.</w:t>
      </w:r>
    </w:p>
  </w:footnote>
  <w:footnote w:id="12">
    <w:p w14:paraId="21A36A40" w14:textId="77777777" w:rsidR="003D331E" w:rsidRPr="008B054A" w:rsidRDefault="003D331E" w:rsidP="008B054A">
      <w:pPr>
        <w:pStyle w:val="Fotnotstext"/>
        <w:rPr>
          <w:lang w:val="sv-SE"/>
        </w:rPr>
      </w:pPr>
      <w:r>
        <w:rPr>
          <w:rStyle w:val="Fotnotsreferens"/>
        </w:rPr>
        <w:footnoteRef/>
      </w:r>
      <w:r w:rsidRPr="008B054A">
        <w:rPr>
          <w:lang w:val="sv-SE"/>
        </w:rPr>
        <w:t xml:space="preserve"> Inkludera beskrivning om särskilda investeringssyften (om sådana finns), exempelvis etiska eller gröna investeringar (se Finansinspektionens beslutspromemoria s. 34).</w:t>
      </w:r>
    </w:p>
  </w:footnote>
  <w:footnote w:id="13">
    <w:p w14:paraId="152FEC93" w14:textId="77777777" w:rsidR="003D331E" w:rsidRPr="008B054A" w:rsidRDefault="003D331E" w:rsidP="008B054A">
      <w:pPr>
        <w:pStyle w:val="Fotnotstext"/>
        <w:rPr>
          <w:lang w:val="sv-SE"/>
        </w:rPr>
      </w:pPr>
      <w:r>
        <w:rPr>
          <w:rStyle w:val="Fotnotsreferens"/>
        </w:rPr>
        <w:footnoteRef/>
      </w:r>
      <w:r w:rsidRPr="008B054A">
        <w:rPr>
          <w:lang w:val="sv-SE"/>
        </w:rPr>
        <w:t xml:space="preserve"> Se fotnot 2. Texten baseras på </w:t>
      </w:r>
      <w:r w:rsidRPr="008B054A">
        <w:rPr>
          <w:i/>
          <w:lang w:val="sv-SE"/>
        </w:rPr>
        <w:t xml:space="preserve">”Case </w:t>
      </w:r>
      <w:proofErr w:type="spellStart"/>
      <w:r w:rsidRPr="008B054A">
        <w:rPr>
          <w:i/>
          <w:lang w:val="sv-SE"/>
        </w:rPr>
        <w:t>study</w:t>
      </w:r>
      <w:proofErr w:type="spellEnd"/>
      <w:r w:rsidRPr="008B054A">
        <w:rPr>
          <w:i/>
          <w:lang w:val="sv-SE"/>
        </w:rPr>
        <w:t xml:space="preserve"> 4” </w:t>
      </w:r>
      <w:r w:rsidRPr="008B054A">
        <w:rPr>
          <w:lang w:val="sv-SE"/>
        </w:rPr>
        <w:t xml:space="preserve">i </w:t>
      </w:r>
      <w:hyperlink r:id="rId1" w:history="1">
        <w:proofErr w:type="spellStart"/>
        <w:r w:rsidRPr="008B054A">
          <w:rPr>
            <w:rStyle w:val="Hyperlnk"/>
            <w:lang w:val="sv-SE"/>
          </w:rPr>
          <w:t>ESMA:s</w:t>
        </w:r>
        <w:proofErr w:type="spellEnd"/>
        <w:r w:rsidRPr="008B054A">
          <w:rPr>
            <w:rStyle w:val="Hyperlnk"/>
            <w:lang w:val="sv-SE"/>
          </w:rPr>
          <w:t xml:space="preserve"> slutliga rapport om riktlinjer för </w:t>
        </w:r>
        <w:proofErr w:type="spellStart"/>
        <w:r w:rsidRPr="008B054A">
          <w:rPr>
            <w:rStyle w:val="Hyperlnk"/>
            <w:lang w:val="sv-SE"/>
          </w:rPr>
          <w:t>MiFID</w:t>
        </w:r>
        <w:proofErr w:type="spellEnd"/>
        <w:r w:rsidRPr="008B054A">
          <w:rPr>
            <w:rStyle w:val="Hyperlnk"/>
            <w:lang w:val="sv-SE"/>
          </w:rPr>
          <w:t xml:space="preserve"> II:s produktstyrningskrav</w:t>
        </w:r>
      </w:hyperlink>
      <w:r w:rsidRPr="008B054A">
        <w:rPr>
          <w:lang w:val="sv-SE"/>
        </w:rPr>
        <w:t xml:space="preserve">, vilken visar en bedömning i fråga om stamaktier. </w:t>
      </w:r>
    </w:p>
  </w:footnote>
  <w:footnote w:id="14">
    <w:p w14:paraId="6A937647" w14:textId="77777777" w:rsidR="003D331E" w:rsidRPr="008B054A" w:rsidRDefault="003D331E" w:rsidP="008B054A">
      <w:pPr>
        <w:pStyle w:val="Fotnotstext"/>
        <w:rPr>
          <w:lang w:val="sv-SE"/>
        </w:rPr>
      </w:pPr>
      <w:r>
        <w:rPr>
          <w:rStyle w:val="Fotnotsreferens"/>
        </w:rPr>
        <w:footnoteRef/>
      </w:r>
      <w:r w:rsidRPr="008B054A">
        <w:rPr>
          <w:lang w:val="sv-SE"/>
        </w:rPr>
        <w:t xml:space="preserve"> Inkluderas för obligationer som inte är ESMA komplexa (ESMA komplexa instrument är exempelvis skuldinstrument med derivatinslag, exempelvis konvertibla och utbytbara obligationer, eller skuldinstrument med en struktur som gör det svårt för kunden att förstå risken, så som instrument där avkastningen är beroende av utvecklingen av en definierad tillgångspool eller sådana som innehåller hävstång). Se </w:t>
      </w:r>
      <w:proofErr w:type="spellStart"/>
      <w:r w:rsidRPr="008B054A">
        <w:rPr>
          <w:lang w:val="sv-SE"/>
        </w:rPr>
        <w:t>ESMA:s</w:t>
      </w:r>
      <w:proofErr w:type="spellEnd"/>
      <w:r w:rsidRPr="008B054A">
        <w:rPr>
          <w:lang w:val="sv-SE"/>
        </w:rPr>
        <w:t xml:space="preserve"> PG riktlinjer om komplexa skuldinstrument och strukturerade insättningar för närmare information.</w:t>
      </w:r>
    </w:p>
  </w:footnote>
  <w:footnote w:id="15">
    <w:p w14:paraId="362D6872" w14:textId="77777777" w:rsidR="003D331E" w:rsidRPr="008B054A" w:rsidRDefault="003D331E" w:rsidP="008B054A">
      <w:pPr>
        <w:pStyle w:val="Fotnotstext"/>
        <w:rPr>
          <w:lang w:val="sv-SE"/>
        </w:rPr>
      </w:pPr>
      <w:r>
        <w:rPr>
          <w:rStyle w:val="Fotnotsreferens"/>
        </w:rPr>
        <w:footnoteRef/>
      </w:r>
      <w:r w:rsidRPr="008B054A">
        <w:rPr>
          <w:lang w:val="sv-SE"/>
        </w:rPr>
        <w:t xml:space="preserve"> Denna lista behöver inte nödvändigtvis inkluderas, och särskilt inte för obligationer som inte är komplexa enligt ESMA där alla distributionskanaler kan vara lämpliga. Den motsvarar listan som används i exemplen i </w:t>
      </w:r>
      <w:proofErr w:type="spellStart"/>
      <w:r w:rsidRPr="008B054A">
        <w:rPr>
          <w:lang w:val="sv-SE"/>
        </w:rPr>
        <w:t>ESMA:s</w:t>
      </w:r>
      <w:proofErr w:type="spellEnd"/>
      <w:r w:rsidRPr="008B054A">
        <w:rPr>
          <w:lang w:val="sv-SE"/>
        </w:rPr>
        <w:t xml:space="preserve"> PG riktlinjer.</w:t>
      </w:r>
    </w:p>
  </w:footnote>
  <w:footnote w:id="16">
    <w:p w14:paraId="070CB16A" w14:textId="77777777" w:rsidR="003D331E" w:rsidRPr="008B054A" w:rsidRDefault="003D331E" w:rsidP="008B054A">
      <w:pPr>
        <w:pStyle w:val="Fotnotstext"/>
        <w:rPr>
          <w:lang w:val="sv-SE"/>
        </w:rPr>
      </w:pPr>
      <w:r>
        <w:rPr>
          <w:rStyle w:val="Fotnotsreferens"/>
        </w:rPr>
        <w:footnoteRef/>
      </w:r>
      <w:r w:rsidRPr="008B054A">
        <w:rPr>
          <w:lang w:val="sv-SE"/>
        </w:rPr>
        <w:t xml:space="preserve"> Inkluderas för vissa obligationer som är komplexa enligt ESMA. Listan kan behöva ändras, exempelvis i de fall där försäljning med rådgivning bedöms vara lämpligt. Om det finns försäljning med rådgivning, kommer en lämplighetsbedömning att krävas. Om instrumenten utgör en ”komplex” produkt, är ren orderexekvering inte tillåten avseende icke-professionella kunder utan att en lämplighetsbedömning har gjorts i enlighet med artikel 25(3) i </w:t>
      </w:r>
      <w:proofErr w:type="spellStart"/>
      <w:r w:rsidRPr="008B054A">
        <w:rPr>
          <w:lang w:val="sv-SE"/>
        </w:rPr>
        <w:t>MiFID</w:t>
      </w:r>
      <w:proofErr w:type="spellEnd"/>
      <w:r w:rsidRPr="008B054A">
        <w:rPr>
          <w:lang w:val="sv-SE"/>
        </w:rPr>
        <w:t xml:space="preserve"> II. </w:t>
      </w:r>
    </w:p>
  </w:footnote>
  <w:footnote w:id="17">
    <w:p w14:paraId="0CFED460" w14:textId="77777777" w:rsidR="003D331E" w:rsidRPr="008B054A" w:rsidRDefault="003D331E" w:rsidP="008B054A">
      <w:pPr>
        <w:pStyle w:val="Fotnotstext"/>
        <w:rPr>
          <w:lang w:val="sv-SE"/>
        </w:rPr>
      </w:pPr>
      <w:r>
        <w:rPr>
          <w:rStyle w:val="Fotnotsreferens"/>
        </w:rPr>
        <w:footnoteRef/>
      </w:r>
      <w:r w:rsidRPr="008B054A">
        <w:rPr>
          <w:lang w:val="sv-SE"/>
        </w:rPr>
        <w:t xml:space="preserve"> Om instrumenten utgör en ”komplex” produkt är ren orderexekvering inte tillåtet för icke-professionella kunder utan att en lämplighetsbedömning har gjorts i enlighet med artikel 25(3) i </w:t>
      </w:r>
      <w:proofErr w:type="spellStart"/>
      <w:r w:rsidRPr="008B054A">
        <w:rPr>
          <w:lang w:val="sv-SE"/>
        </w:rPr>
        <w:t>MiFID</w:t>
      </w:r>
      <w:proofErr w:type="spellEnd"/>
      <w:r w:rsidRPr="008B054A">
        <w:rPr>
          <w:lang w:val="sv-SE"/>
        </w:rPr>
        <w:t xml:space="preserve"> II. Om försäljning sker med rådgivning kommer en lämplighetsbedömning att vara nödvändig.</w:t>
      </w:r>
    </w:p>
  </w:footnote>
  <w:footnote w:id="18">
    <w:p w14:paraId="27262870" w14:textId="77777777" w:rsidR="003D331E" w:rsidRPr="008B054A" w:rsidRDefault="003D331E" w:rsidP="008B054A">
      <w:pPr>
        <w:pStyle w:val="Fotnotstext"/>
        <w:rPr>
          <w:lang w:val="sv-SE"/>
        </w:rPr>
      </w:pPr>
      <w:r>
        <w:rPr>
          <w:rStyle w:val="Fotnotsreferens"/>
        </w:rPr>
        <w:footnoteRef/>
      </w:r>
      <w:r w:rsidRPr="008B054A">
        <w:rPr>
          <w:lang w:val="sv-SE"/>
        </w:rPr>
        <w:t xml:space="preserve"> Vid varje emission ska en bedömning göras om huruvida de involverade bolagen skapar, utvecklar, utformar eller ger ut det finansiella instrumentet, eller, i förhållande till bolag som inte träffas av </w:t>
      </w:r>
      <w:proofErr w:type="spellStart"/>
      <w:r w:rsidRPr="008B054A">
        <w:rPr>
          <w:lang w:val="sv-SE"/>
        </w:rPr>
        <w:t>MiFID</w:t>
      </w:r>
      <w:proofErr w:type="spellEnd"/>
      <w:r w:rsidRPr="008B054A">
        <w:rPr>
          <w:lang w:val="sv-SE"/>
        </w:rPr>
        <w:t xml:space="preserve"> II, huruvida de ger råd till </w:t>
      </w:r>
      <w:proofErr w:type="spellStart"/>
      <w:r w:rsidRPr="008B054A">
        <w:rPr>
          <w:lang w:val="sv-SE"/>
        </w:rPr>
        <w:t>emittenten</w:t>
      </w:r>
      <w:proofErr w:type="spellEnd"/>
      <w:r w:rsidRPr="008B054A">
        <w:rPr>
          <w:lang w:val="sv-SE"/>
        </w:rPr>
        <w:t xml:space="preserve"> i fråga.</w:t>
      </w:r>
    </w:p>
  </w:footnote>
  <w:footnote w:id="19">
    <w:p w14:paraId="7DEA280D" w14:textId="77777777" w:rsidR="003D331E" w:rsidRPr="008B054A" w:rsidRDefault="003D331E" w:rsidP="008B054A">
      <w:pPr>
        <w:pStyle w:val="Fotnotstext"/>
        <w:rPr>
          <w:lang w:val="sv-SE"/>
        </w:rPr>
      </w:pPr>
      <w:r>
        <w:rPr>
          <w:rStyle w:val="Fotnotsreferens"/>
        </w:rPr>
        <w:footnoteRef/>
      </w:r>
      <w:r w:rsidRPr="008B054A">
        <w:rPr>
          <w:lang w:val="sv-SE"/>
        </w:rPr>
        <w:t xml:space="preserve"> Skulle information om försäljning krävas bör det beaktas om följande ska inkluderas: ”</w:t>
      </w:r>
      <w:r w:rsidRPr="008B054A">
        <w:rPr>
          <w:i/>
          <w:lang w:val="sv-SE"/>
        </w:rPr>
        <w:t>En Arrangör, Handlare eller annan av deras respektive dotterbolag som erbjuder, rekommenderar eller säljer [Obligationerna] i samband med en emission av [Obligationerna], ska tillhandahålla lämplig information om försäljning till Producent[en/</w:t>
      </w:r>
      <w:proofErr w:type="spellStart"/>
      <w:r w:rsidRPr="008B054A">
        <w:rPr>
          <w:i/>
          <w:lang w:val="sv-SE"/>
        </w:rPr>
        <w:t>erna</w:t>
      </w:r>
      <w:proofErr w:type="spellEnd"/>
      <w:r w:rsidRPr="008B054A">
        <w:rPr>
          <w:i/>
          <w:lang w:val="sv-SE"/>
        </w:rPr>
        <w:t>]. Detta omfattar information om försäljning utanför den målmarknad som har definierats av Producent[en/</w:t>
      </w:r>
      <w:proofErr w:type="spellStart"/>
      <w:r w:rsidRPr="008B054A">
        <w:rPr>
          <w:i/>
          <w:lang w:val="sv-SE"/>
        </w:rPr>
        <w:t>erna</w:t>
      </w:r>
      <w:proofErr w:type="spellEnd"/>
      <w:r w:rsidRPr="008B054A">
        <w:rPr>
          <w:i/>
          <w:lang w:val="sv-SE"/>
        </w:rPr>
        <w:t xml:space="preserve">]. Det gäller dock inte försäljning i diversifierings- eller i </w:t>
      </w:r>
      <w:proofErr w:type="spellStart"/>
      <w:r w:rsidRPr="008B054A">
        <w:rPr>
          <w:i/>
          <w:lang w:val="sv-SE"/>
        </w:rPr>
        <w:t>hedgingsyfte</w:t>
      </w:r>
      <w:proofErr w:type="spellEnd"/>
      <w:r w:rsidRPr="008B054A">
        <w:rPr>
          <w:i/>
          <w:lang w:val="sv-SE"/>
        </w:rPr>
        <w:t xml:space="preserve">, eller för </w:t>
      </w:r>
      <w:proofErr w:type="spellStart"/>
      <w:r w:rsidRPr="008B054A">
        <w:rPr>
          <w:i/>
          <w:lang w:val="sv-SE"/>
        </w:rPr>
        <w:t>hedgingrelaterad</w:t>
      </w:r>
      <w:proofErr w:type="spellEnd"/>
      <w:r w:rsidRPr="008B054A">
        <w:rPr>
          <w:i/>
          <w:lang w:val="sv-SE"/>
        </w:rPr>
        <w:t xml:space="preserve"> försäljning som inte sker på den negativa målmarknaden.</w:t>
      </w:r>
      <w:r w:rsidRPr="008B054A">
        <w:rPr>
          <w:lang w:val="sv-SE"/>
        </w:rPr>
        <w:t>”</w:t>
      </w:r>
      <w:r w:rsidRPr="008B054A">
        <w:rPr>
          <w:i/>
          <w:lang w:val="sv-SE"/>
        </w:rPr>
        <w:t xml:space="preserve">. </w:t>
      </w:r>
    </w:p>
  </w:footnote>
  <w:footnote w:id="20">
    <w:p w14:paraId="1B0F72FC" w14:textId="77777777" w:rsidR="003D331E" w:rsidRPr="008B054A" w:rsidRDefault="003D331E" w:rsidP="008B054A">
      <w:pPr>
        <w:pStyle w:val="Fotnotstext"/>
        <w:rPr>
          <w:lang w:val="sv-SE"/>
        </w:rPr>
      </w:pPr>
      <w:r>
        <w:rPr>
          <w:rStyle w:val="Fotnotsreferens"/>
        </w:rPr>
        <w:footnoteRef/>
      </w:r>
      <w:r w:rsidRPr="008B054A">
        <w:rPr>
          <w:lang w:val="sv-SE"/>
        </w:rPr>
        <w:t xml:space="preserve"> Såväl avsnitt 2.1 som 2.2 adresserar situationen då [Obligationerna] utgör eller möjligtvis skulle kunna utgöra en PRIIP produkt, men anledningen till varför [Obligationerna] inte erbjuds till icke-professionella kunder beskrivs på olika sätt. Avsnitt 2.1 är avsett för situationen där de slutliga villkoren för [Obligationerna] är kända och avsnitt 2.2 då de slutliga villkoren är okända.</w:t>
      </w:r>
    </w:p>
  </w:footnote>
  <w:footnote w:id="21">
    <w:p w14:paraId="3ABAF58E" w14:textId="77777777" w:rsidR="003D331E" w:rsidRPr="008B054A" w:rsidRDefault="003D331E" w:rsidP="008B054A">
      <w:pPr>
        <w:pStyle w:val="Fotnotstext"/>
        <w:rPr>
          <w:lang w:val="sv-SE"/>
        </w:rPr>
      </w:pPr>
      <w:r>
        <w:rPr>
          <w:rStyle w:val="Fotnotsreferens"/>
        </w:rPr>
        <w:footnoteRef/>
      </w:r>
      <w:r w:rsidRPr="008B054A">
        <w:rPr>
          <w:lang w:val="sv-SE"/>
        </w:rPr>
        <w:t xml:space="preserve"> Kan tas bort om det anses att produkten inte utgör en PRIIP produkt.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15375" w14:textId="77777777" w:rsidR="007036BE" w:rsidRDefault="007036B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3F13A" w14:textId="77777777" w:rsidR="003D331E" w:rsidRPr="00F30DA7" w:rsidRDefault="003D331E" w:rsidP="00692D83">
    <w:pPr>
      <w:pStyle w:val="Sidhuvud"/>
    </w:pPr>
    <w:r>
      <w:tab/>
    </w:r>
    <w:r>
      <w:fldChar w:fldCharType="begin"/>
    </w:r>
    <w:r w:rsidRPr="00AD6A91">
      <w:instrText xml:space="preserve"> docVariable "</w:instrText>
    </w:r>
    <w:r>
      <w:instrText>specialDraft</w:instrText>
    </w:r>
    <w:r w:rsidRPr="00AD6A91">
      <w:instrText xml:space="preserve">Date" </w:instrText>
    </w:r>
    <w:r>
      <w:fldChar w:fldCharType="separate"/>
    </w:r>
    <w:r w:rsidR="00EB2BE0">
      <w:t xml:space="preserve">20 </w:t>
    </w:r>
    <w:proofErr w:type="spellStart"/>
    <w:r w:rsidR="00EB2BE0">
      <w:t>september</w:t>
    </w:r>
    <w:proofErr w:type="spellEnd"/>
    <w:r>
      <w:t xml:space="preserve"> 2018</w:t>
    </w:r>
    <w:r>
      <w:fldChar w:fldCharType="end"/>
    </w:r>
    <w:r>
      <w:tab/>
    </w:r>
    <w:r>
      <w:rPr>
        <w:rStyle w:val="Sidnummer"/>
      </w:rPr>
      <w:fldChar w:fldCharType="begin"/>
    </w:r>
    <w:r>
      <w:rPr>
        <w:rStyle w:val="Sidnummer"/>
      </w:rPr>
      <w:instrText xml:space="preserve"> PAGE </w:instrText>
    </w:r>
    <w:r>
      <w:rPr>
        <w:rStyle w:val="Sidnummer"/>
      </w:rPr>
      <w:fldChar w:fldCharType="separate"/>
    </w:r>
    <w:r w:rsidR="005834F5">
      <w:rPr>
        <w:rStyle w:val="Sidnummer"/>
        <w:noProof/>
      </w:rPr>
      <w:t>6</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5834F5">
      <w:rPr>
        <w:rStyle w:val="Sidnummer"/>
        <w:noProof/>
      </w:rPr>
      <w:t>6</w:t>
    </w:r>
    <w:r>
      <w:rPr>
        <w:rStyle w:val="Sidnummer"/>
      </w:rPr>
      <w:fldChar w:fldCharType="end"/>
    </w:r>
    <w:r>
      <w:rPr>
        <w:rStyle w:val="Sidnummer"/>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E92DD" w14:textId="77777777" w:rsidR="003D331E" w:rsidRDefault="003D331E" w:rsidP="00DD041A">
    <w:pPr>
      <w:spacing w:before="200" w:after="200" w:line="288" w:lineRule="auto"/>
      <w:jc w:val="center"/>
      <w:rPr>
        <w:b/>
        <w:bCs/>
        <w:sz w:val="16"/>
        <w:highlight w:val="yellow"/>
      </w:rPr>
    </w:pPr>
    <w:bookmarkStart w:id="1" w:name="logotype"/>
  </w:p>
  <w:p w14:paraId="1D251F46" w14:textId="77777777" w:rsidR="003D331E" w:rsidRPr="007C6D55" w:rsidRDefault="007036BE" w:rsidP="009C2AFE">
    <w:pPr>
      <w:spacing w:after="0" w:line="360" w:lineRule="auto"/>
      <w:jc w:val="center"/>
      <w:rPr>
        <w:rFonts w:asciiTheme="majorHAnsi" w:hAnsiTheme="majorHAnsi" w:cstheme="majorHAnsi"/>
        <w:lang w:val="sv-SE"/>
      </w:rPr>
    </w:pPr>
    <w:r w:rsidRPr="00A65109">
      <w:rPr>
        <w:sz w:val="36"/>
        <w:lang w:val="sv-SE"/>
      </w:rPr>
      <w:t>S</w:t>
    </w:r>
    <w:r w:rsidRPr="00A65109">
      <w:rPr>
        <w:sz w:val="28"/>
        <w:lang w:val="sv-SE"/>
      </w:rPr>
      <w:t>VENSK</w:t>
    </w:r>
    <w:r w:rsidRPr="00A65109">
      <w:rPr>
        <w:sz w:val="36"/>
        <w:lang w:val="sv-SE"/>
      </w:rPr>
      <w:t>A</w:t>
    </w:r>
    <w:r w:rsidRPr="00A65109">
      <w:rPr>
        <w:sz w:val="36"/>
        <w:lang w:val="sv-SE"/>
      </w:rPr>
      <w:br/>
      <w:t>F</w:t>
    </w:r>
    <w:r w:rsidRPr="00A65109">
      <w:rPr>
        <w:sz w:val="28"/>
        <w:lang w:val="sv-SE"/>
      </w:rPr>
      <w:t>ONDHANDLAR</w:t>
    </w:r>
    <w:r w:rsidRPr="00A65109">
      <w:rPr>
        <w:sz w:val="36"/>
        <w:lang w:val="sv-SE"/>
      </w:rPr>
      <w:t>E</w:t>
    </w:r>
    <w:r w:rsidRPr="00A65109">
      <w:rPr>
        <w:sz w:val="36"/>
        <w:lang w:val="sv-SE"/>
      </w:rPr>
      <w:br/>
      <w:t>F</w:t>
    </w:r>
    <w:r w:rsidRPr="00A65109">
      <w:rPr>
        <w:sz w:val="28"/>
        <w:lang w:val="sv-SE"/>
      </w:rPr>
      <w:t>ÖRENINGE</w:t>
    </w:r>
    <w:r w:rsidRPr="00A65109">
      <w:rPr>
        <w:sz w:val="36"/>
        <w:lang w:val="sv-SE"/>
      </w:rPr>
      <w:t>N</w:t>
    </w:r>
    <w:r w:rsidR="008B054A" w:rsidRPr="007C6D55">
      <w:rPr>
        <w:b/>
        <w:bCs/>
        <w:sz w:val="16"/>
        <w:highlight w:val="yellow"/>
        <w:lang w:val="sv-SE"/>
      </w:rPr>
      <w:br/>
    </w:r>
    <w:r w:rsidR="008B054A" w:rsidRPr="007C6D55">
      <w:rPr>
        <w:b/>
        <w:bCs/>
        <w:sz w:val="20"/>
        <w:szCs w:val="20"/>
        <w:lang w:val="sv-SE"/>
      </w:rPr>
      <w:br/>
    </w:r>
    <w:bookmarkStart w:id="2" w:name="_Hlk525200318"/>
    <w:r w:rsidR="008B054A" w:rsidRPr="007C6D55">
      <w:rPr>
        <w:b/>
        <w:sz w:val="20"/>
        <w:szCs w:val="20"/>
        <w:lang w:val="sv-SE"/>
      </w:rPr>
      <w:t>[</w:t>
    </w:r>
    <w:r w:rsidR="007C6D55" w:rsidRPr="007C6D55">
      <w:rPr>
        <w:b/>
        <w:sz w:val="20"/>
        <w:szCs w:val="20"/>
        <w:lang w:val="sv-SE"/>
      </w:rPr>
      <w:t xml:space="preserve">Med hänvisning till den </w:t>
    </w:r>
    <w:proofErr w:type="spellStart"/>
    <w:r w:rsidR="007C6D55" w:rsidRPr="007C6D55">
      <w:rPr>
        <w:b/>
        <w:sz w:val="20"/>
        <w:szCs w:val="20"/>
        <w:lang w:val="sv-SE"/>
      </w:rPr>
      <w:t>disclaimer</w:t>
    </w:r>
    <w:proofErr w:type="spellEnd"/>
    <w:r w:rsidR="007C6D55" w:rsidRPr="007C6D55">
      <w:rPr>
        <w:b/>
        <w:sz w:val="20"/>
        <w:szCs w:val="20"/>
        <w:lang w:val="sv-SE"/>
      </w:rPr>
      <w:t xml:space="preserve"> som finns på sid </w:t>
    </w:r>
    <w:r w:rsidR="008B054A" w:rsidRPr="007C6D55">
      <w:rPr>
        <w:b/>
        <w:sz w:val="20"/>
        <w:szCs w:val="20"/>
        <w:lang w:val="sv-SE"/>
      </w:rPr>
      <w:t xml:space="preserve">6, </w:t>
    </w:r>
    <w:r w:rsidR="007C6D55" w:rsidRPr="007C6D55">
      <w:rPr>
        <w:b/>
        <w:sz w:val="20"/>
        <w:szCs w:val="20"/>
        <w:lang w:val="sv-SE"/>
      </w:rPr>
      <w:t>samtycker Svenska Fondhandlareföreningen att detta do</w:t>
    </w:r>
    <w:r w:rsidR="007C6D55">
      <w:rPr>
        <w:b/>
        <w:sz w:val="20"/>
        <w:szCs w:val="20"/>
        <w:lang w:val="sv-SE"/>
      </w:rPr>
      <w:t>k</w:t>
    </w:r>
    <w:r w:rsidR="007C6D55" w:rsidRPr="007C6D55">
      <w:rPr>
        <w:b/>
        <w:sz w:val="20"/>
        <w:szCs w:val="20"/>
        <w:lang w:val="sv-SE"/>
      </w:rPr>
      <w:t xml:space="preserve">ument används och återskapas </w:t>
    </w:r>
    <w:r w:rsidR="007C6D55">
      <w:rPr>
        <w:b/>
        <w:sz w:val="20"/>
        <w:szCs w:val="20"/>
        <w:lang w:val="sv-SE"/>
      </w:rPr>
      <w:t>i</w:t>
    </w:r>
    <w:r w:rsidR="007C6D55" w:rsidRPr="007C6D55">
      <w:rPr>
        <w:b/>
        <w:sz w:val="20"/>
        <w:szCs w:val="20"/>
        <w:lang w:val="sv-SE"/>
      </w:rPr>
      <w:t xml:space="preserve"> samband med emissioner av obligationer. Föreningen medger ej att dokumentet används på något annat sätt eller distribueras för något annat ändamål och reserverar förbehållslöst alla andra rättig</w:t>
    </w:r>
    <w:r w:rsidR="007C6D55">
      <w:rPr>
        <w:b/>
        <w:sz w:val="20"/>
        <w:szCs w:val="20"/>
        <w:lang w:val="sv-SE"/>
      </w:rPr>
      <w:t>heter till dokumentet</w:t>
    </w:r>
    <w:r w:rsidR="008B054A" w:rsidRPr="007C6D55">
      <w:rPr>
        <w:b/>
        <w:sz w:val="20"/>
        <w:szCs w:val="20"/>
        <w:lang w:val="sv-SE"/>
      </w:rPr>
      <w:t>]</w:t>
    </w:r>
    <w:bookmarkEnd w:id="2"/>
    <w:r w:rsidR="003D331E" w:rsidRPr="007C6D55">
      <w:rPr>
        <w:b/>
        <w:sz w:val="16"/>
        <w:highlight w:val="yellow"/>
        <w:lang w:val="sv-SE"/>
      </w:rPr>
      <w:br/>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DE7F1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0628D7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EFC28BE8"/>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C10ED8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44B8AD3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C4F5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E012C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22479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58418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C6C5D9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15:restartNumberingAfterBreak="0">
    <w:nsid w:val="28976652"/>
    <w:multiLevelType w:val="multilevel"/>
    <w:tmpl w:val="38A458B2"/>
    <w:lvl w:ilvl="0">
      <w:start w:val="1"/>
      <w:numFmt w:val="bullet"/>
      <w:pStyle w:val="ListAlt7"/>
      <w:lvlText w:val=""/>
      <w:lvlJc w:val="left"/>
      <w:pPr>
        <w:tabs>
          <w:tab w:val="num" w:pos="1009"/>
        </w:tabs>
        <w:ind w:left="1009" w:hanging="578"/>
      </w:pPr>
      <w:rPr>
        <w:rFonts w:ascii="Symbol" w:hAnsi="Symbol" w:hint="default"/>
      </w:rPr>
    </w:lvl>
    <w:lvl w:ilvl="1">
      <w:start w:val="1"/>
      <w:numFmt w:val="bullet"/>
      <w:pStyle w:val="List-sublist"/>
      <w:lvlText w:val=""/>
      <w:lvlJc w:val="left"/>
      <w:pPr>
        <w:ind w:left="1588" w:hanging="579"/>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A675B1"/>
    <w:multiLevelType w:val="hybridMultilevel"/>
    <w:tmpl w:val="91B65918"/>
    <w:lvl w:ilvl="0" w:tplc="27041AF4">
      <w:start w:val="1"/>
      <w:numFmt w:val="decimal"/>
      <w:pStyle w:val="List1Alt6"/>
      <w:lvlText w:val="%1."/>
      <w:lvlJc w:val="left"/>
      <w:pPr>
        <w:tabs>
          <w:tab w:val="num" w:pos="1009"/>
        </w:tabs>
        <w:ind w:left="1009" w:hanging="578"/>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4AC65A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C0718A"/>
    <w:multiLevelType w:val="multilevel"/>
    <w:tmpl w:val="37F0730E"/>
    <w:lvl w:ilvl="0">
      <w:start w:val="1"/>
      <w:numFmt w:val="lowerLetter"/>
      <w:lvlRestart w:val="0"/>
      <w:lvlText w:val="(%1)"/>
      <w:lvlJc w:val="left"/>
      <w:pPr>
        <w:tabs>
          <w:tab w:val="num" w:pos="1009"/>
        </w:tabs>
        <w:ind w:left="1009" w:hanging="578"/>
      </w:pPr>
      <w:rPr>
        <w:rFonts w:hint="default"/>
      </w:rPr>
    </w:lvl>
    <w:lvl w:ilvl="1">
      <w:start w:val="1"/>
      <w:numFmt w:val="lowerRoman"/>
      <w:lvlText w:val="(%2)"/>
      <w:lvlJc w:val="left"/>
      <w:pPr>
        <w:tabs>
          <w:tab w:val="num" w:pos="1587"/>
        </w:tabs>
        <w:ind w:left="1587" w:hanging="578"/>
      </w:pPr>
      <w:rPr>
        <w:rFonts w:hint="default"/>
      </w:rPr>
    </w:lvl>
    <w:lvl w:ilvl="2">
      <w:start w:val="1"/>
      <w:numFmt w:val="upperLetter"/>
      <w:lvlText w:val="(%3)"/>
      <w:lvlJc w:val="left"/>
      <w:pPr>
        <w:tabs>
          <w:tab w:val="num" w:pos="2166"/>
        </w:tabs>
        <w:ind w:left="2166" w:hanging="579"/>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5" w15:restartNumberingAfterBreak="0">
    <w:nsid w:val="555C67EC"/>
    <w:multiLevelType w:val="multilevel"/>
    <w:tmpl w:val="E4A41DB8"/>
    <w:lvl w:ilvl="0">
      <w:start w:val="1"/>
      <w:numFmt w:val="decimal"/>
      <w:pStyle w:val="Rubrik1"/>
      <w:lvlText w:val="%1."/>
      <w:lvlJc w:val="left"/>
      <w:pPr>
        <w:tabs>
          <w:tab w:val="num" w:pos="0"/>
        </w:tabs>
        <w:ind w:left="1009" w:hanging="1009"/>
      </w:pPr>
      <w:rPr>
        <w:rFonts w:hint="default"/>
      </w:rPr>
    </w:lvl>
    <w:lvl w:ilvl="1">
      <w:start w:val="1"/>
      <w:numFmt w:val="decimal"/>
      <w:pStyle w:val="Rubrik2"/>
      <w:lvlText w:val="%1.%2"/>
      <w:lvlJc w:val="left"/>
      <w:pPr>
        <w:tabs>
          <w:tab w:val="num" w:pos="0"/>
        </w:tabs>
        <w:ind w:left="1009" w:hanging="1009"/>
      </w:pPr>
      <w:rPr>
        <w:rFonts w:hint="default"/>
      </w:rPr>
    </w:lvl>
    <w:lvl w:ilvl="2">
      <w:start w:val="1"/>
      <w:numFmt w:val="decimal"/>
      <w:pStyle w:val="Rubrik3"/>
      <w:lvlText w:val="%1.%2.%3"/>
      <w:lvlJc w:val="left"/>
      <w:pPr>
        <w:tabs>
          <w:tab w:val="num" w:pos="0"/>
        </w:tabs>
        <w:ind w:left="1009" w:hanging="1009"/>
      </w:pPr>
      <w:rPr>
        <w:rFonts w:hint="default"/>
      </w:rPr>
    </w:lvl>
    <w:lvl w:ilvl="3">
      <w:start w:val="1"/>
      <w:numFmt w:val="decimal"/>
      <w:pStyle w:val="Rubrik4"/>
      <w:lvlText w:val="%1.%2.%3.%4"/>
      <w:lvlJc w:val="left"/>
      <w:pPr>
        <w:tabs>
          <w:tab w:val="num" w:pos="0"/>
        </w:tabs>
        <w:ind w:left="1009" w:hanging="1009"/>
      </w:pPr>
      <w:rPr>
        <w:rFonts w:ascii="Times New Roman" w:hAnsi="Times New Roman" w:hint="default"/>
        <w:b w:val="0"/>
        <w:i w:val="0"/>
        <w:sz w:val="22"/>
        <w:szCs w:val="24"/>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16" w15:restartNumberingAfterBreak="0">
    <w:nsid w:val="6B8B0739"/>
    <w:multiLevelType w:val="multilevel"/>
    <w:tmpl w:val="803CFBE4"/>
    <w:name w:val="bilaga"/>
    <w:lvl w:ilvl="0">
      <w:start w:val="1"/>
      <w:numFmt w:val="lowerLetter"/>
      <w:lvlRestart w:val="0"/>
      <w:pStyle w:val="Listlevel1aAlt5"/>
      <w:lvlText w:val="(%1)"/>
      <w:lvlJc w:val="left"/>
      <w:pPr>
        <w:tabs>
          <w:tab w:val="num" w:pos="1009"/>
        </w:tabs>
        <w:ind w:left="1009" w:hanging="578"/>
      </w:pPr>
      <w:rPr>
        <w:rFonts w:hint="default"/>
        <w:i w:val="0"/>
      </w:rPr>
    </w:lvl>
    <w:lvl w:ilvl="1">
      <w:start w:val="1"/>
      <w:numFmt w:val="lowerRoman"/>
      <w:pStyle w:val="Listlevel2i"/>
      <w:lvlText w:val="(%2)"/>
      <w:lvlJc w:val="left"/>
      <w:pPr>
        <w:tabs>
          <w:tab w:val="num" w:pos="1587"/>
        </w:tabs>
        <w:ind w:left="1587" w:hanging="578"/>
      </w:pPr>
      <w:rPr>
        <w:rFonts w:hint="default"/>
      </w:rPr>
    </w:lvl>
    <w:lvl w:ilvl="2">
      <w:start w:val="1"/>
      <w:numFmt w:val="upperLetter"/>
      <w:pStyle w:val="Listlevel3A"/>
      <w:lvlText w:val="(%3)"/>
      <w:lvlJc w:val="left"/>
      <w:pPr>
        <w:tabs>
          <w:tab w:val="num" w:pos="2166"/>
        </w:tabs>
        <w:ind w:left="2166" w:hanging="579"/>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7" w15:restartNumberingAfterBreak="0">
    <w:nsid w:val="79910EFB"/>
    <w:multiLevelType w:val="multilevel"/>
    <w:tmpl w:val="10BC8254"/>
    <w:lvl w:ilvl="0">
      <w:start w:val="1"/>
      <w:numFmt w:val="decimal"/>
      <w:pStyle w:val="Schedule"/>
      <w:suff w:val="space"/>
      <w:lvlText w:val="Schedule %1"/>
      <w:lvlJc w:val="left"/>
      <w:pPr>
        <w:ind w:left="0" w:firstLine="0"/>
      </w:pPr>
      <w:rPr>
        <w:rFonts w:hint="default"/>
      </w:rPr>
    </w:lvl>
    <w:lvl w:ilvl="1">
      <w:start w:val="1"/>
      <w:numFmt w:val="none"/>
      <w:pStyle w:val="ScheduleHeadingToC"/>
      <w:lvlText w:val=""/>
      <w:lvlJc w:val="left"/>
      <w:pPr>
        <w:tabs>
          <w:tab w:val="num" w:pos="0"/>
        </w:tabs>
        <w:ind w:left="0" w:firstLine="0"/>
      </w:pPr>
      <w:rPr>
        <w:rFonts w:hint="default"/>
      </w:rPr>
    </w:lvl>
    <w:lvl w:ilvl="2">
      <w:start w:val="1"/>
      <w:numFmt w:val="decimal"/>
      <w:pStyle w:val="ScheduleHeading1"/>
      <w:lvlText w:val="%3."/>
      <w:lvlJc w:val="left"/>
      <w:pPr>
        <w:tabs>
          <w:tab w:val="num" w:pos="1009"/>
        </w:tabs>
        <w:ind w:left="1009" w:hanging="1009"/>
      </w:pPr>
      <w:rPr>
        <w:rFonts w:hint="default"/>
      </w:rPr>
    </w:lvl>
    <w:lvl w:ilvl="3">
      <w:start w:val="1"/>
      <w:numFmt w:val="decimal"/>
      <w:pStyle w:val="ScheduleHeading2"/>
      <w:lvlText w:val="%3.%4"/>
      <w:lvlJc w:val="left"/>
      <w:pPr>
        <w:tabs>
          <w:tab w:val="num" w:pos="1009"/>
        </w:tabs>
        <w:ind w:left="1009" w:hanging="1009"/>
      </w:pPr>
      <w:rPr>
        <w:rFonts w:hint="default"/>
      </w:rPr>
    </w:lvl>
    <w:lvl w:ilvl="4">
      <w:start w:val="1"/>
      <w:numFmt w:val="decimal"/>
      <w:pStyle w:val="ScheduleHeading3"/>
      <w:lvlText w:val="%3.%4.%5"/>
      <w:lvlJc w:val="left"/>
      <w:pPr>
        <w:tabs>
          <w:tab w:val="num" w:pos="1009"/>
        </w:tabs>
        <w:ind w:left="1009" w:hanging="100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BD26AAA"/>
    <w:multiLevelType w:val="multilevel"/>
    <w:tmpl w:val="35BCEE28"/>
    <w:lvl w:ilvl="0">
      <w:start w:val="1"/>
      <w:numFmt w:val="decimal"/>
      <w:lvlText w:val="%1"/>
      <w:lvlJc w:val="left"/>
      <w:pPr>
        <w:tabs>
          <w:tab w:val="num" w:pos="0"/>
        </w:tabs>
        <w:ind w:left="1009" w:hanging="1009"/>
      </w:pPr>
      <w:rPr>
        <w:rFonts w:hint="default"/>
      </w:rPr>
    </w:lvl>
    <w:lvl w:ilvl="1">
      <w:start w:val="1"/>
      <w:numFmt w:val="decimal"/>
      <w:lvlText w:val="%1.%2"/>
      <w:lvlJc w:val="left"/>
      <w:pPr>
        <w:tabs>
          <w:tab w:val="num" w:pos="0"/>
        </w:tabs>
        <w:ind w:left="1009" w:hanging="10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6"/>
  </w:num>
  <w:num w:numId="14">
    <w:abstractNumId w:val="17"/>
  </w:num>
  <w:num w:numId="15">
    <w:abstractNumId w:val="11"/>
  </w:num>
  <w:num w:numId="16">
    <w:abstractNumId w:val="1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stylePaneSortMethod w:val="00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date" w:val=" "/>
    <w:docVar w:name="datum" w:val=" "/>
    <w:docVar w:name="DraftDateDate" w:val="2018-07-09"/>
    <w:docVar w:name="first" w:val="true"/>
    <w:docVar w:name="MSAlanguage" w:val="EN"/>
    <w:docVar w:name="specialDraft" w:val="DRAFT"/>
    <w:docVar w:name="specialDraftdate" w:val="9 July 2018"/>
  </w:docVars>
  <w:rsids>
    <w:rsidRoot w:val="0012382D"/>
    <w:rsid w:val="0000043E"/>
    <w:rsid w:val="00000DB5"/>
    <w:rsid w:val="000019CA"/>
    <w:rsid w:val="0001108C"/>
    <w:rsid w:val="00027D23"/>
    <w:rsid w:val="00032215"/>
    <w:rsid w:val="000333FC"/>
    <w:rsid w:val="000361E8"/>
    <w:rsid w:val="0003705A"/>
    <w:rsid w:val="0003710A"/>
    <w:rsid w:val="00043C35"/>
    <w:rsid w:val="00045E09"/>
    <w:rsid w:val="00047762"/>
    <w:rsid w:val="00050375"/>
    <w:rsid w:val="00051DD9"/>
    <w:rsid w:val="00053AC0"/>
    <w:rsid w:val="00055358"/>
    <w:rsid w:val="000622F1"/>
    <w:rsid w:val="00065F81"/>
    <w:rsid w:val="00066D25"/>
    <w:rsid w:val="00072483"/>
    <w:rsid w:val="000756FA"/>
    <w:rsid w:val="00083185"/>
    <w:rsid w:val="000841E8"/>
    <w:rsid w:val="00085168"/>
    <w:rsid w:val="00093903"/>
    <w:rsid w:val="00096814"/>
    <w:rsid w:val="000A6F9E"/>
    <w:rsid w:val="000C1921"/>
    <w:rsid w:val="000C1DC2"/>
    <w:rsid w:val="000C5CAD"/>
    <w:rsid w:val="000C697B"/>
    <w:rsid w:val="000D1B9C"/>
    <w:rsid w:val="000D5652"/>
    <w:rsid w:val="000D60E4"/>
    <w:rsid w:val="000E2CA7"/>
    <w:rsid w:val="000E6512"/>
    <w:rsid w:val="000E7EEF"/>
    <w:rsid w:val="000F19FF"/>
    <w:rsid w:val="000F1B3D"/>
    <w:rsid w:val="000F361F"/>
    <w:rsid w:val="00102B9C"/>
    <w:rsid w:val="001106A1"/>
    <w:rsid w:val="00113BEF"/>
    <w:rsid w:val="001161A6"/>
    <w:rsid w:val="0011646F"/>
    <w:rsid w:val="00117E27"/>
    <w:rsid w:val="001231C0"/>
    <w:rsid w:val="0012382D"/>
    <w:rsid w:val="00125E46"/>
    <w:rsid w:val="001275EB"/>
    <w:rsid w:val="00130A71"/>
    <w:rsid w:val="00134B7F"/>
    <w:rsid w:val="0013571C"/>
    <w:rsid w:val="0013646E"/>
    <w:rsid w:val="001403D2"/>
    <w:rsid w:val="001428D5"/>
    <w:rsid w:val="00150CB2"/>
    <w:rsid w:val="00151471"/>
    <w:rsid w:val="0015312F"/>
    <w:rsid w:val="00154D32"/>
    <w:rsid w:val="00155226"/>
    <w:rsid w:val="00155595"/>
    <w:rsid w:val="00155FC0"/>
    <w:rsid w:val="001601CD"/>
    <w:rsid w:val="001612A4"/>
    <w:rsid w:val="00164E7A"/>
    <w:rsid w:val="00167A20"/>
    <w:rsid w:val="001707C5"/>
    <w:rsid w:val="00170DB0"/>
    <w:rsid w:val="0017293B"/>
    <w:rsid w:val="00173E4F"/>
    <w:rsid w:val="0017427F"/>
    <w:rsid w:val="00180AA4"/>
    <w:rsid w:val="00194BD9"/>
    <w:rsid w:val="001A26F0"/>
    <w:rsid w:val="001A2723"/>
    <w:rsid w:val="001A3B84"/>
    <w:rsid w:val="001A55A6"/>
    <w:rsid w:val="001A5CEF"/>
    <w:rsid w:val="001A69FA"/>
    <w:rsid w:val="001B21AF"/>
    <w:rsid w:val="001B2228"/>
    <w:rsid w:val="001B4555"/>
    <w:rsid w:val="001B6606"/>
    <w:rsid w:val="001C083D"/>
    <w:rsid w:val="001C08C8"/>
    <w:rsid w:val="001C21EB"/>
    <w:rsid w:val="001C4F81"/>
    <w:rsid w:val="001C5289"/>
    <w:rsid w:val="001D4189"/>
    <w:rsid w:val="001E48C8"/>
    <w:rsid w:val="001E4D3F"/>
    <w:rsid w:val="001E60DE"/>
    <w:rsid w:val="001F1121"/>
    <w:rsid w:val="001F1E15"/>
    <w:rsid w:val="001F7BE5"/>
    <w:rsid w:val="00201DF1"/>
    <w:rsid w:val="00204F9A"/>
    <w:rsid w:val="00207081"/>
    <w:rsid w:val="002200C1"/>
    <w:rsid w:val="002258D9"/>
    <w:rsid w:val="00226508"/>
    <w:rsid w:val="002318B9"/>
    <w:rsid w:val="00235D6B"/>
    <w:rsid w:val="00235E51"/>
    <w:rsid w:val="00237530"/>
    <w:rsid w:val="00237A68"/>
    <w:rsid w:val="00257BB5"/>
    <w:rsid w:val="00260776"/>
    <w:rsid w:val="002625BD"/>
    <w:rsid w:val="00262E13"/>
    <w:rsid w:val="002647DF"/>
    <w:rsid w:val="00267ED1"/>
    <w:rsid w:val="00274DF6"/>
    <w:rsid w:val="00275528"/>
    <w:rsid w:val="0027636B"/>
    <w:rsid w:val="0028207D"/>
    <w:rsid w:val="002857E5"/>
    <w:rsid w:val="002A4793"/>
    <w:rsid w:val="002A7852"/>
    <w:rsid w:val="002A79A1"/>
    <w:rsid w:val="002A7F2C"/>
    <w:rsid w:val="002B080E"/>
    <w:rsid w:val="002B2C63"/>
    <w:rsid w:val="002B32C7"/>
    <w:rsid w:val="002B40B9"/>
    <w:rsid w:val="002C1EB3"/>
    <w:rsid w:val="002C3A1D"/>
    <w:rsid w:val="002C4806"/>
    <w:rsid w:val="002D5583"/>
    <w:rsid w:val="002D6062"/>
    <w:rsid w:val="002E4BDF"/>
    <w:rsid w:val="002E6DF3"/>
    <w:rsid w:val="002E6F75"/>
    <w:rsid w:val="002E76C2"/>
    <w:rsid w:val="002F20DC"/>
    <w:rsid w:val="002F3CC1"/>
    <w:rsid w:val="002F64C3"/>
    <w:rsid w:val="00301373"/>
    <w:rsid w:val="00302D29"/>
    <w:rsid w:val="003039D1"/>
    <w:rsid w:val="00313406"/>
    <w:rsid w:val="00313D16"/>
    <w:rsid w:val="0032003B"/>
    <w:rsid w:val="00325631"/>
    <w:rsid w:val="003258E0"/>
    <w:rsid w:val="00326562"/>
    <w:rsid w:val="00330951"/>
    <w:rsid w:val="00332AB4"/>
    <w:rsid w:val="00336F5D"/>
    <w:rsid w:val="003408C1"/>
    <w:rsid w:val="00341558"/>
    <w:rsid w:val="00343992"/>
    <w:rsid w:val="003445FD"/>
    <w:rsid w:val="00345898"/>
    <w:rsid w:val="00346374"/>
    <w:rsid w:val="0035485F"/>
    <w:rsid w:val="00354C0C"/>
    <w:rsid w:val="00354F7F"/>
    <w:rsid w:val="00364CED"/>
    <w:rsid w:val="003777EA"/>
    <w:rsid w:val="00380824"/>
    <w:rsid w:val="003818D3"/>
    <w:rsid w:val="00383472"/>
    <w:rsid w:val="0038386F"/>
    <w:rsid w:val="00385846"/>
    <w:rsid w:val="00386893"/>
    <w:rsid w:val="00395705"/>
    <w:rsid w:val="003A24A3"/>
    <w:rsid w:val="003A58C5"/>
    <w:rsid w:val="003B2421"/>
    <w:rsid w:val="003C0E83"/>
    <w:rsid w:val="003C6573"/>
    <w:rsid w:val="003D17E8"/>
    <w:rsid w:val="003D2ADD"/>
    <w:rsid w:val="003D331E"/>
    <w:rsid w:val="003D470E"/>
    <w:rsid w:val="003D6517"/>
    <w:rsid w:val="003E0422"/>
    <w:rsid w:val="003E4876"/>
    <w:rsid w:val="003E6C25"/>
    <w:rsid w:val="003F57A0"/>
    <w:rsid w:val="003F7F16"/>
    <w:rsid w:val="00400C05"/>
    <w:rsid w:val="00405F55"/>
    <w:rsid w:val="004065D2"/>
    <w:rsid w:val="00411A0E"/>
    <w:rsid w:val="0041589F"/>
    <w:rsid w:val="004229BC"/>
    <w:rsid w:val="00424729"/>
    <w:rsid w:val="00424CAF"/>
    <w:rsid w:val="00425C6E"/>
    <w:rsid w:val="0043321C"/>
    <w:rsid w:val="00433A43"/>
    <w:rsid w:val="004341B9"/>
    <w:rsid w:val="0044131F"/>
    <w:rsid w:val="00444070"/>
    <w:rsid w:val="0044559E"/>
    <w:rsid w:val="00447A8E"/>
    <w:rsid w:val="00447F77"/>
    <w:rsid w:val="00451778"/>
    <w:rsid w:val="0045460D"/>
    <w:rsid w:val="00460592"/>
    <w:rsid w:val="00465FC1"/>
    <w:rsid w:val="00467B68"/>
    <w:rsid w:val="00467D47"/>
    <w:rsid w:val="00471E6B"/>
    <w:rsid w:val="00473E5F"/>
    <w:rsid w:val="0047407E"/>
    <w:rsid w:val="0048040F"/>
    <w:rsid w:val="004805B5"/>
    <w:rsid w:val="004814C5"/>
    <w:rsid w:val="00484C47"/>
    <w:rsid w:val="0049000F"/>
    <w:rsid w:val="00492A92"/>
    <w:rsid w:val="00497D80"/>
    <w:rsid w:val="004A01E2"/>
    <w:rsid w:val="004A46C3"/>
    <w:rsid w:val="004A6F23"/>
    <w:rsid w:val="004B034A"/>
    <w:rsid w:val="004B3FC5"/>
    <w:rsid w:val="004B6724"/>
    <w:rsid w:val="004B7990"/>
    <w:rsid w:val="004C3B9F"/>
    <w:rsid w:val="004C52B6"/>
    <w:rsid w:val="004D0329"/>
    <w:rsid w:val="004D193C"/>
    <w:rsid w:val="004D3123"/>
    <w:rsid w:val="004D59A7"/>
    <w:rsid w:val="004D7074"/>
    <w:rsid w:val="004F0329"/>
    <w:rsid w:val="0050203E"/>
    <w:rsid w:val="005051E9"/>
    <w:rsid w:val="00507E5C"/>
    <w:rsid w:val="00510343"/>
    <w:rsid w:val="00510616"/>
    <w:rsid w:val="005135A4"/>
    <w:rsid w:val="005164D4"/>
    <w:rsid w:val="00523AD5"/>
    <w:rsid w:val="00527F38"/>
    <w:rsid w:val="0053198D"/>
    <w:rsid w:val="005368B5"/>
    <w:rsid w:val="00537D70"/>
    <w:rsid w:val="0054234D"/>
    <w:rsid w:val="005511CB"/>
    <w:rsid w:val="00555E5E"/>
    <w:rsid w:val="00567035"/>
    <w:rsid w:val="00572BDB"/>
    <w:rsid w:val="00577E72"/>
    <w:rsid w:val="00577EC1"/>
    <w:rsid w:val="00580594"/>
    <w:rsid w:val="00580C0F"/>
    <w:rsid w:val="005834F5"/>
    <w:rsid w:val="00585304"/>
    <w:rsid w:val="005860FB"/>
    <w:rsid w:val="00587F91"/>
    <w:rsid w:val="005903A0"/>
    <w:rsid w:val="00596CDD"/>
    <w:rsid w:val="005A13EB"/>
    <w:rsid w:val="005A3EEF"/>
    <w:rsid w:val="005A76A6"/>
    <w:rsid w:val="005B2C7C"/>
    <w:rsid w:val="005B709F"/>
    <w:rsid w:val="005C5537"/>
    <w:rsid w:val="005C5AB6"/>
    <w:rsid w:val="005E0F65"/>
    <w:rsid w:val="005E699B"/>
    <w:rsid w:val="005F0D8B"/>
    <w:rsid w:val="005F244D"/>
    <w:rsid w:val="005F5ECB"/>
    <w:rsid w:val="0061350B"/>
    <w:rsid w:val="006145EC"/>
    <w:rsid w:val="00615690"/>
    <w:rsid w:val="00616CE4"/>
    <w:rsid w:val="0062782F"/>
    <w:rsid w:val="00633F90"/>
    <w:rsid w:val="00636FD3"/>
    <w:rsid w:val="00640502"/>
    <w:rsid w:val="00640D61"/>
    <w:rsid w:val="00644A27"/>
    <w:rsid w:val="00653E0A"/>
    <w:rsid w:val="006557A1"/>
    <w:rsid w:val="00656A72"/>
    <w:rsid w:val="006577C6"/>
    <w:rsid w:val="00657988"/>
    <w:rsid w:val="00657FEC"/>
    <w:rsid w:val="00661994"/>
    <w:rsid w:val="00661A88"/>
    <w:rsid w:val="00662520"/>
    <w:rsid w:val="006634AA"/>
    <w:rsid w:val="00666A81"/>
    <w:rsid w:val="00670DA7"/>
    <w:rsid w:val="006733EA"/>
    <w:rsid w:val="00673FA8"/>
    <w:rsid w:val="00677414"/>
    <w:rsid w:val="00682BC2"/>
    <w:rsid w:val="006901F2"/>
    <w:rsid w:val="0069234A"/>
    <w:rsid w:val="00692D32"/>
    <w:rsid w:val="00692D83"/>
    <w:rsid w:val="00695FB3"/>
    <w:rsid w:val="006979EB"/>
    <w:rsid w:val="006A28ED"/>
    <w:rsid w:val="006A5A81"/>
    <w:rsid w:val="006A5B96"/>
    <w:rsid w:val="006A720B"/>
    <w:rsid w:val="006A72C1"/>
    <w:rsid w:val="006B2A89"/>
    <w:rsid w:val="006B35F2"/>
    <w:rsid w:val="006C206F"/>
    <w:rsid w:val="006C256B"/>
    <w:rsid w:val="006D0EB2"/>
    <w:rsid w:val="006D1B8F"/>
    <w:rsid w:val="006D259A"/>
    <w:rsid w:val="006D492E"/>
    <w:rsid w:val="006D49D1"/>
    <w:rsid w:val="006D6010"/>
    <w:rsid w:val="006E34D1"/>
    <w:rsid w:val="006E3C5C"/>
    <w:rsid w:val="006E4863"/>
    <w:rsid w:val="006F0A4C"/>
    <w:rsid w:val="006F3F7B"/>
    <w:rsid w:val="0070266C"/>
    <w:rsid w:val="007036BE"/>
    <w:rsid w:val="00705592"/>
    <w:rsid w:val="00712357"/>
    <w:rsid w:val="007127D3"/>
    <w:rsid w:val="007134A7"/>
    <w:rsid w:val="00713D54"/>
    <w:rsid w:val="0071501A"/>
    <w:rsid w:val="00717D3A"/>
    <w:rsid w:val="00720C20"/>
    <w:rsid w:val="00732D8E"/>
    <w:rsid w:val="00733087"/>
    <w:rsid w:val="00736A11"/>
    <w:rsid w:val="00741A9E"/>
    <w:rsid w:val="007422E4"/>
    <w:rsid w:val="00743499"/>
    <w:rsid w:val="00761B6C"/>
    <w:rsid w:val="0076574D"/>
    <w:rsid w:val="00775946"/>
    <w:rsid w:val="00777E39"/>
    <w:rsid w:val="007800B3"/>
    <w:rsid w:val="0078402C"/>
    <w:rsid w:val="007865CF"/>
    <w:rsid w:val="007869E0"/>
    <w:rsid w:val="0079467F"/>
    <w:rsid w:val="00796B84"/>
    <w:rsid w:val="007B191B"/>
    <w:rsid w:val="007B41CB"/>
    <w:rsid w:val="007C39E5"/>
    <w:rsid w:val="007C6D55"/>
    <w:rsid w:val="007D0A9F"/>
    <w:rsid w:val="007D2FE2"/>
    <w:rsid w:val="007D38CD"/>
    <w:rsid w:val="007D692A"/>
    <w:rsid w:val="007E0768"/>
    <w:rsid w:val="007E425D"/>
    <w:rsid w:val="007E5675"/>
    <w:rsid w:val="007E5F5A"/>
    <w:rsid w:val="007F01D3"/>
    <w:rsid w:val="007F049E"/>
    <w:rsid w:val="007F47F6"/>
    <w:rsid w:val="007F6536"/>
    <w:rsid w:val="00801CDD"/>
    <w:rsid w:val="00801E49"/>
    <w:rsid w:val="00802B0B"/>
    <w:rsid w:val="0080597A"/>
    <w:rsid w:val="008104E0"/>
    <w:rsid w:val="00812713"/>
    <w:rsid w:val="00812A8B"/>
    <w:rsid w:val="00824FCD"/>
    <w:rsid w:val="00826C7D"/>
    <w:rsid w:val="00831153"/>
    <w:rsid w:val="008346C5"/>
    <w:rsid w:val="00840E0F"/>
    <w:rsid w:val="008413F4"/>
    <w:rsid w:val="00844565"/>
    <w:rsid w:val="00851F73"/>
    <w:rsid w:val="00852530"/>
    <w:rsid w:val="00852DA4"/>
    <w:rsid w:val="008578DE"/>
    <w:rsid w:val="00863178"/>
    <w:rsid w:val="008648C6"/>
    <w:rsid w:val="00871FC8"/>
    <w:rsid w:val="00876229"/>
    <w:rsid w:val="00881825"/>
    <w:rsid w:val="00881FCF"/>
    <w:rsid w:val="00884AF8"/>
    <w:rsid w:val="008852C5"/>
    <w:rsid w:val="0088535F"/>
    <w:rsid w:val="00885C5F"/>
    <w:rsid w:val="00886BF4"/>
    <w:rsid w:val="00893D6E"/>
    <w:rsid w:val="0089791A"/>
    <w:rsid w:val="008A367D"/>
    <w:rsid w:val="008A39B1"/>
    <w:rsid w:val="008A7079"/>
    <w:rsid w:val="008B054A"/>
    <w:rsid w:val="008B0ACC"/>
    <w:rsid w:val="008B195F"/>
    <w:rsid w:val="008B463E"/>
    <w:rsid w:val="008B6C3A"/>
    <w:rsid w:val="008C2EF2"/>
    <w:rsid w:val="008C4EE0"/>
    <w:rsid w:val="008C6F86"/>
    <w:rsid w:val="008C7D30"/>
    <w:rsid w:val="008D3205"/>
    <w:rsid w:val="008D672F"/>
    <w:rsid w:val="008E321C"/>
    <w:rsid w:val="008E5C5A"/>
    <w:rsid w:val="008E7912"/>
    <w:rsid w:val="008F12FC"/>
    <w:rsid w:val="008F28B3"/>
    <w:rsid w:val="008F79F3"/>
    <w:rsid w:val="00900440"/>
    <w:rsid w:val="00907DD4"/>
    <w:rsid w:val="00910E75"/>
    <w:rsid w:val="00915CD1"/>
    <w:rsid w:val="0091665C"/>
    <w:rsid w:val="0091707A"/>
    <w:rsid w:val="009178EF"/>
    <w:rsid w:val="00926304"/>
    <w:rsid w:val="00933FA0"/>
    <w:rsid w:val="009413BA"/>
    <w:rsid w:val="009433B6"/>
    <w:rsid w:val="009437B6"/>
    <w:rsid w:val="00943A8E"/>
    <w:rsid w:val="00944CF3"/>
    <w:rsid w:val="009456CE"/>
    <w:rsid w:val="00946B27"/>
    <w:rsid w:val="00950C0A"/>
    <w:rsid w:val="00954F72"/>
    <w:rsid w:val="0096590A"/>
    <w:rsid w:val="00970640"/>
    <w:rsid w:val="009758D4"/>
    <w:rsid w:val="0098409F"/>
    <w:rsid w:val="00985EBB"/>
    <w:rsid w:val="00990E0F"/>
    <w:rsid w:val="009914DC"/>
    <w:rsid w:val="00991C03"/>
    <w:rsid w:val="0099391B"/>
    <w:rsid w:val="0099744F"/>
    <w:rsid w:val="009A66C6"/>
    <w:rsid w:val="009B607D"/>
    <w:rsid w:val="009B781F"/>
    <w:rsid w:val="009C18C9"/>
    <w:rsid w:val="009C24BA"/>
    <w:rsid w:val="009C2AFE"/>
    <w:rsid w:val="009C3F2A"/>
    <w:rsid w:val="009D072E"/>
    <w:rsid w:val="009D086D"/>
    <w:rsid w:val="009D1D90"/>
    <w:rsid w:val="009D731A"/>
    <w:rsid w:val="009D75B6"/>
    <w:rsid w:val="009D7C94"/>
    <w:rsid w:val="009E0771"/>
    <w:rsid w:val="009E0B6B"/>
    <w:rsid w:val="009E25AC"/>
    <w:rsid w:val="009E750A"/>
    <w:rsid w:val="009F0270"/>
    <w:rsid w:val="009F38C3"/>
    <w:rsid w:val="009F42CA"/>
    <w:rsid w:val="009F4EC3"/>
    <w:rsid w:val="009F56FB"/>
    <w:rsid w:val="00A03C4D"/>
    <w:rsid w:val="00A067A0"/>
    <w:rsid w:val="00A07C50"/>
    <w:rsid w:val="00A1148B"/>
    <w:rsid w:val="00A12CF6"/>
    <w:rsid w:val="00A13D97"/>
    <w:rsid w:val="00A13EB9"/>
    <w:rsid w:val="00A2239D"/>
    <w:rsid w:val="00A25466"/>
    <w:rsid w:val="00A2600B"/>
    <w:rsid w:val="00A3079C"/>
    <w:rsid w:val="00A31578"/>
    <w:rsid w:val="00A350D3"/>
    <w:rsid w:val="00A500CD"/>
    <w:rsid w:val="00A514A8"/>
    <w:rsid w:val="00A54B4C"/>
    <w:rsid w:val="00A62DB9"/>
    <w:rsid w:val="00A63253"/>
    <w:rsid w:val="00A65109"/>
    <w:rsid w:val="00A67913"/>
    <w:rsid w:val="00A70F70"/>
    <w:rsid w:val="00A82074"/>
    <w:rsid w:val="00A97FF2"/>
    <w:rsid w:val="00AA30E0"/>
    <w:rsid w:val="00AA5C8A"/>
    <w:rsid w:val="00AB0916"/>
    <w:rsid w:val="00AB1B8C"/>
    <w:rsid w:val="00AB2CE2"/>
    <w:rsid w:val="00AB4E9B"/>
    <w:rsid w:val="00AC584F"/>
    <w:rsid w:val="00AE12C2"/>
    <w:rsid w:val="00AE1586"/>
    <w:rsid w:val="00AE4465"/>
    <w:rsid w:val="00AE6E5E"/>
    <w:rsid w:val="00AF015B"/>
    <w:rsid w:val="00AF0A5D"/>
    <w:rsid w:val="00AF3360"/>
    <w:rsid w:val="00AF3FEB"/>
    <w:rsid w:val="00B0510A"/>
    <w:rsid w:val="00B11A22"/>
    <w:rsid w:val="00B14F24"/>
    <w:rsid w:val="00B17E94"/>
    <w:rsid w:val="00B22957"/>
    <w:rsid w:val="00B244AE"/>
    <w:rsid w:val="00B2645B"/>
    <w:rsid w:val="00B26842"/>
    <w:rsid w:val="00B32D4A"/>
    <w:rsid w:val="00B33567"/>
    <w:rsid w:val="00B356CD"/>
    <w:rsid w:val="00B40C47"/>
    <w:rsid w:val="00B449AC"/>
    <w:rsid w:val="00B44B3B"/>
    <w:rsid w:val="00B47288"/>
    <w:rsid w:val="00B47303"/>
    <w:rsid w:val="00B47761"/>
    <w:rsid w:val="00B517C0"/>
    <w:rsid w:val="00B57910"/>
    <w:rsid w:val="00B57FCD"/>
    <w:rsid w:val="00B62476"/>
    <w:rsid w:val="00B659E6"/>
    <w:rsid w:val="00B747F3"/>
    <w:rsid w:val="00B80D02"/>
    <w:rsid w:val="00B836C4"/>
    <w:rsid w:val="00B918A3"/>
    <w:rsid w:val="00B96300"/>
    <w:rsid w:val="00B963C9"/>
    <w:rsid w:val="00B97A71"/>
    <w:rsid w:val="00BA100A"/>
    <w:rsid w:val="00BA21B2"/>
    <w:rsid w:val="00BA25B3"/>
    <w:rsid w:val="00BA6B74"/>
    <w:rsid w:val="00BA7A5D"/>
    <w:rsid w:val="00BB3292"/>
    <w:rsid w:val="00BB335E"/>
    <w:rsid w:val="00BB6E36"/>
    <w:rsid w:val="00BC30A5"/>
    <w:rsid w:val="00BC6094"/>
    <w:rsid w:val="00BC7B5E"/>
    <w:rsid w:val="00BD41B2"/>
    <w:rsid w:val="00BD7981"/>
    <w:rsid w:val="00BD7D22"/>
    <w:rsid w:val="00BE056F"/>
    <w:rsid w:val="00BE30EA"/>
    <w:rsid w:val="00BE45CF"/>
    <w:rsid w:val="00BE64C9"/>
    <w:rsid w:val="00BF1407"/>
    <w:rsid w:val="00BF6304"/>
    <w:rsid w:val="00C0054C"/>
    <w:rsid w:val="00C13DC0"/>
    <w:rsid w:val="00C175FD"/>
    <w:rsid w:val="00C235BC"/>
    <w:rsid w:val="00C25FF8"/>
    <w:rsid w:val="00C30081"/>
    <w:rsid w:val="00C31020"/>
    <w:rsid w:val="00C342A3"/>
    <w:rsid w:val="00C37785"/>
    <w:rsid w:val="00C4194F"/>
    <w:rsid w:val="00C444C1"/>
    <w:rsid w:val="00C4508E"/>
    <w:rsid w:val="00C470E5"/>
    <w:rsid w:val="00C503A5"/>
    <w:rsid w:val="00C53DF5"/>
    <w:rsid w:val="00C63FC4"/>
    <w:rsid w:val="00C656EB"/>
    <w:rsid w:val="00C74AF3"/>
    <w:rsid w:val="00C7509D"/>
    <w:rsid w:val="00C84C9D"/>
    <w:rsid w:val="00C85536"/>
    <w:rsid w:val="00C87B44"/>
    <w:rsid w:val="00CA0B1F"/>
    <w:rsid w:val="00CA2394"/>
    <w:rsid w:val="00CA2AA3"/>
    <w:rsid w:val="00CA3C62"/>
    <w:rsid w:val="00CA6144"/>
    <w:rsid w:val="00CB291E"/>
    <w:rsid w:val="00CB4326"/>
    <w:rsid w:val="00CC0017"/>
    <w:rsid w:val="00CC1CB0"/>
    <w:rsid w:val="00CC4ECE"/>
    <w:rsid w:val="00CC6159"/>
    <w:rsid w:val="00CC7D98"/>
    <w:rsid w:val="00CD04D1"/>
    <w:rsid w:val="00CD27F7"/>
    <w:rsid w:val="00CD282A"/>
    <w:rsid w:val="00CD312B"/>
    <w:rsid w:val="00CD3FF6"/>
    <w:rsid w:val="00CD75ED"/>
    <w:rsid w:val="00CE0FF0"/>
    <w:rsid w:val="00CE346C"/>
    <w:rsid w:val="00CE50F7"/>
    <w:rsid w:val="00CF366E"/>
    <w:rsid w:val="00D0160B"/>
    <w:rsid w:val="00D01F6F"/>
    <w:rsid w:val="00D0503D"/>
    <w:rsid w:val="00D062EC"/>
    <w:rsid w:val="00D06AAB"/>
    <w:rsid w:val="00D21EB4"/>
    <w:rsid w:val="00D246E4"/>
    <w:rsid w:val="00D24E49"/>
    <w:rsid w:val="00D334CC"/>
    <w:rsid w:val="00D41E6F"/>
    <w:rsid w:val="00D41EA6"/>
    <w:rsid w:val="00D525FB"/>
    <w:rsid w:val="00D5325E"/>
    <w:rsid w:val="00D5778A"/>
    <w:rsid w:val="00D60E8E"/>
    <w:rsid w:val="00D71A58"/>
    <w:rsid w:val="00D74CEA"/>
    <w:rsid w:val="00D77133"/>
    <w:rsid w:val="00D772BF"/>
    <w:rsid w:val="00D8057B"/>
    <w:rsid w:val="00D86DCC"/>
    <w:rsid w:val="00D9005A"/>
    <w:rsid w:val="00D948C3"/>
    <w:rsid w:val="00D94B15"/>
    <w:rsid w:val="00D957F9"/>
    <w:rsid w:val="00DA51B8"/>
    <w:rsid w:val="00DB4B4C"/>
    <w:rsid w:val="00DB5653"/>
    <w:rsid w:val="00DC39E1"/>
    <w:rsid w:val="00DC5CE8"/>
    <w:rsid w:val="00DD041A"/>
    <w:rsid w:val="00DD3C10"/>
    <w:rsid w:val="00DD601E"/>
    <w:rsid w:val="00DE3C95"/>
    <w:rsid w:val="00DE5066"/>
    <w:rsid w:val="00DE5835"/>
    <w:rsid w:val="00E0038F"/>
    <w:rsid w:val="00E00A4E"/>
    <w:rsid w:val="00E128DB"/>
    <w:rsid w:val="00E13F48"/>
    <w:rsid w:val="00E22687"/>
    <w:rsid w:val="00E30E0F"/>
    <w:rsid w:val="00E3256F"/>
    <w:rsid w:val="00E33ED4"/>
    <w:rsid w:val="00E3546E"/>
    <w:rsid w:val="00E4235E"/>
    <w:rsid w:val="00E43F29"/>
    <w:rsid w:val="00E45C67"/>
    <w:rsid w:val="00E46F9E"/>
    <w:rsid w:val="00E479B9"/>
    <w:rsid w:val="00E510C4"/>
    <w:rsid w:val="00E512B5"/>
    <w:rsid w:val="00E51FBB"/>
    <w:rsid w:val="00E56E6E"/>
    <w:rsid w:val="00E56EEF"/>
    <w:rsid w:val="00E57AC0"/>
    <w:rsid w:val="00E625AF"/>
    <w:rsid w:val="00E62C2E"/>
    <w:rsid w:val="00E636E3"/>
    <w:rsid w:val="00E63824"/>
    <w:rsid w:val="00E63924"/>
    <w:rsid w:val="00E64BF0"/>
    <w:rsid w:val="00E77792"/>
    <w:rsid w:val="00E7797C"/>
    <w:rsid w:val="00E77A44"/>
    <w:rsid w:val="00E821E7"/>
    <w:rsid w:val="00E878DA"/>
    <w:rsid w:val="00E940F1"/>
    <w:rsid w:val="00E949CA"/>
    <w:rsid w:val="00E949F4"/>
    <w:rsid w:val="00EA0BB0"/>
    <w:rsid w:val="00EA2911"/>
    <w:rsid w:val="00EB2233"/>
    <w:rsid w:val="00EB298D"/>
    <w:rsid w:val="00EB2BE0"/>
    <w:rsid w:val="00EB77F3"/>
    <w:rsid w:val="00EC0C49"/>
    <w:rsid w:val="00EC4C0E"/>
    <w:rsid w:val="00EC5E5C"/>
    <w:rsid w:val="00ED0E41"/>
    <w:rsid w:val="00ED3DAF"/>
    <w:rsid w:val="00ED76AE"/>
    <w:rsid w:val="00EE01A1"/>
    <w:rsid w:val="00EE18C5"/>
    <w:rsid w:val="00EE2529"/>
    <w:rsid w:val="00EE56DC"/>
    <w:rsid w:val="00EF05F0"/>
    <w:rsid w:val="00EF1A33"/>
    <w:rsid w:val="00EF1E00"/>
    <w:rsid w:val="00EF470B"/>
    <w:rsid w:val="00EF76FB"/>
    <w:rsid w:val="00F0114B"/>
    <w:rsid w:val="00F01653"/>
    <w:rsid w:val="00F02C3A"/>
    <w:rsid w:val="00F05F08"/>
    <w:rsid w:val="00F06645"/>
    <w:rsid w:val="00F07CE3"/>
    <w:rsid w:val="00F1460C"/>
    <w:rsid w:val="00F1698C"/>
    <w:rsid w:val="00F179BB"/>
    <w:rsid w:val="00F21F6D"/>
    <w:rsid w:val="00F26F27"/>
    <w:rsid w:val="00F279BF"/>
    <w:rsid w:val="00F3380E"/>
    <w:rsid w:val="00F33E6C"/>
    <w:rsid w:val="00F355B2"/>
    <w:rsid w:val="00F35990"/>
    <w:rsid w:val="00F363CB"/>
    <w:rsid w:val="00F434FB"/>
    <w:rsid w:val="00F43D23"/>
    <w:rsid w:val="00F4479D"/>
    <w:rsid w:val="00F47C0E"/>
    <w:rsid w:val="00F500FA"/>
    <w:rsid w:val="00F506D5"/>
    <w:rsid w:val="00F527D1"/>
    <w:rsid w:val="00F53F21"/>
    <w:rsid w:val="00F542E1"/>
    <w:rsid w:val="00F54552"/>
    <w:rsid w:val="00F56321"/>
    <w:rsid w:val="00F56E9C"/>
    <w:rsid w:val="00F60277"/>
    <w:rsid w:val="00F66543"/>
    <w:rsid w:val="00F77CB1"/>
    <w:rsid w:val="00F809B3"/>
    <w:rsid w:val="00F824DE"/>
    <w:rsid w:val="00F830D1"/>
    <w:rsid w:val="00F8432F"/>
    <w:rsid w:val="00F930D4"/>
    <w:rsid w:val="00F948F7"/>
    <w:rsid w:val="00F95BBB"/>
    <w:rsid w:val="00F97827"/>
    <w:rsid w:val="00FA2806"/>
    <w:rsid w:val="00FA36CF"/>
    <w:rsid w:val="00FA7CFE"/>
    <w:rsid w:val="00FB2EA2"/>
    <w:rsid w:val="00FB51DA"/>
    <w:rsid w:val="00FC4194"/>
    <w:rsid w:val="00FC44F3"/>
    <w:rsid w:val="00FC715D"/>
    <w:rsid w:val="00FD1C60"/>
    <w:rsid w:val="00FD58FC"/>
    <w:rsid w:val="00FD5961"/>
    <w:rsid w:val="00FD5C10"/>
    <w:rsid w:val="00FE5195"/>
    <w:rsid w:val="00FF4703"/>
    <w:rsid w:val="00FF4EB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402847"/>
  <w15:docId w15:val="{566BA5EC-0504-445D-BD48-EDE71A63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Alt+B"/>
    <w:qFormat/>
    <w:rsid w:val="001C083D"/>
    <w:pPr>
      <w:spacing w:after="240"/>
    </w:pPr>
    <w:rPr>
      <w:sz w:val="22"/>
      <w:szCs w:val="24"/>
      <w:lang w:val="en-GB"/>
    </w:rPr>
  </w:style>
  <w:style w:type="paragraph" w:styleId="Rubrik1">
    <w:name w:val="heading 1"/>
    <w:aliases w:val="Heading 1 Alt+1"/>
    <w:basedOn w:val="Normal"/>
    <w:next w:val="Normal"/>
    <w:qFormat/>
    <w:rsid w:val="00313406"/>
    <w:pPr>
      <w:keepNext/>
      <w:numPr>
        <w:numId w:val="11"/>
      </w:numPr>
      <w:spacing w:before="240"/>
      <w:outlineLvl w:val="0"/>
    </w:pPr>
    <w:rPr>
      <w:rFonts w:cs="Arial"/>
      <w:b/>
      <w:bCs/>
      <w:sz w:val="28"/>
      <w:szCs w:val="28"/>
    </w:rPr>
  </w:style>
  <w:style w:type="paragraph" w:styleId="Rubrik2">
    <w:name w:val="heading 2"/>
    <w:aliases w:val="Heading 2 Alt+2"/>
    <w:basedOn w:val="Normal"/>
    <w:next w:val="Normal"/>
    <w:qFormat/>
    <w:rsid w:val="003C0E83"/>
    <w:pPr>
      <w:keepNext/>
      <w:numPr>
        <w:ilvl w:val="1"/>
        <w:numId w:val="11"/>
      </w:numPr>
      <w:spacing w:before="120"/>
      <w:outlineLvl w:val="1"/>
    </w:pPr>
    <w:rPr>
      <w:rFonts w:cs="Arial"/>
      <w:b/>
      <w:bCs/>
      <w:iCs/>
    </w:rPr>
  </w:style>
  <w:style w:type="paragraph" w:styleId="Rubrik3">
    <w:name w:val="heading 3"/>
    <w:aliases w:val="Heading 3 Alt+3"/>
    <w:basedOn w:val="Normal"/>
    <w:next w:val="Normal"/>
    <w:qFormat/>
    <w:rsid w:val="00313406"/>
    <w:pPr>
      <w:keepNext/>
      <w:numPr>
        <w:ilvl w:val="2"/>
        <w:numId w:val="11"/>
      </w:numPr>
      <w:outlineLvl w:val="2"/>
    </w:pPr>
    <w:rPr>
      <w:rFonts w:cs="Arial"/>
      <w:bCs/>
      <w:u w:val="single"/>
    </w:rPr>
  </w:style>
  <w:style w:type="paragraph" w:styleId="Rubrik4">
    <w:name w:val="heading 4"/>
    <w:aliases w:val="Heading 4 Alt+4"/>
    <w:basedOn w:val="Normal"/>
    <w:next w:val="Normal"/>
    <w:qFormat/>
    <w:rsid w:val="007C39E5"/>
    <w:pPr>
      <w:keepNext/>
      <w:numPr>
        <w:ilvl w:val="3"/>
        <w:numId w:val="11"/>
      </w:numPr>
      <w:outlineLvl w:val="3"/>
    </w:pPr>
    <w:rPr>
      <w:bCs/>
      <w:i/>
    </w:rPr>
  </w:style>
  <w:style w:type="paragraph" w:styleId="Rubrik5">
    <w:name w:val="heading 5"/>
    <w:basedOn w:val="Normal"/>
    <w:next w:val="Normal"/>
    <w:semiHidden/>
    <w:qFormat/>
    <w:rsid w:val="00313406"/>
    <w:pPr>
      <w:numPr>
        <w:ilvl w:val="4"/>
        <w:numId w:val="11"/>
      </w:numPr>
      <w:spacing w:before="240" w:after="60"/>
      <w:outlineLvl w:val="4"/>
    </w:pPr>
    <w:rPr>
      <w:b/>
      <w:bCs/>
      <w:i/>
      <w:iCs/>
      <w:sz w:val="26"/>
      <w:szCs w:val="26"/>
    </w:rPr>
  </w:style>
  <w:style w:type="paragraph" w:styleId="Rubrik6">
    <w:name w:val="heading 6"/>
    <w:basedOn w:val="Normal"/>
    <w:next w:val="Normal"/>
    <w:semiHidden/>
    <w:qFormat/>
    <w:rsid w:val="00313406"/>
    <w:pPr>
      <w:numPr>
        <w:ilvl w:val="5"/>
        <w:numId w:val="11"/>
      </w:numPr>
      <w:spacing w:before="240" w:after="60"/>
      <w:outlineLvl w:val="5"/>
    </w:pPr>
    <w:rPr>
      <w:b/>
      <w:bCs/>
      <w:szCs w:val="22"/>
    </w:rPr>
  </w:style>
  <w:style w:type="paragraph" w:styleId="Rubrik7">
    <w:name w:val="heading 7"/>
    <w:basedOn w:val="Normal"/>
    <w:next w:val="Normal"/>
    <w:semiHidden/>
    <w:qFormat/>
    <w:rsid w:val="00313406"/>
    <w:pPr>
      <w:numPr>
        <w:ilvl w:val="6"/>
        <w:numId w:val="11"/>
      </w:numPr>
      <w:spacing w:before="240" w:after="60"/>
      <w:outlineLvl w:val="6"/>
    </w:pPr>
  </w:style>
  <w:style w:type="paragraph" w:styleId="Rubrik8">
    <w:name w:val="heading 8"/>
    <w:basedOn w:val="Normal"/>
    <w:next w:val="Normal"/>
    <w:semiHidden/>
    <w:qFormat/>
    <w:rsid w:val="00313406"/>
    <w:pPr>
      <w:numPr>
        <w:ilvl w:val="7"/>
        <w:numId w:val="11"/>
      </w:numPr>
      <w:spacing w:before="240" w:after="60"/>
      <w:outlineLvl w:val="7"/>
    </w:pPr>
    <w:rPr>
      <w:i/>
      <w:iCs/>
    </w:rPr>
  </w:style>
  <w:style w:type="paragraph" w:styleId="Rubrik9">
    <w:name w:val="heading 9"/>
    <w:basedOn w:val="Normal"/>
    <w:next w:val="Normal"/>
    <w:semiHidden/>
    <w:qFormat/>
    <w:rsid w:val="00313406"/>
    <w:pPr>
      <w:numPr>
        <w:ilvl w:val="8"/>
        <w:numId w:val="11"/>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withindentAltD">
    <w:name w:val="Normal with indent Alt+D"/>
    <w:basedOn w:val="Normal"/>
    <w:qFormat/>
    <w:rsid w:val="00555E5E"/>
    <w:pPr>
      <w:ind w:left="1009"/>
    </w:pPr>
  </w:style>
  <w:style w:type="paragraph" w:customStyle="1" w:styleId="Numbparagr2AltS">
    <w:name w:val="Numb paragr 2 Alt+S"/>
    <w:basedOn w:val="Rubrik2"/>
    <w:qFormat/>
    <w:rsid w:val="006E34D1"/>
    <w:pPr>
      <w:keepNext w:val="0"/>
      <w:spacing w:before="0"/>
    </w:pPr>
    <w:rPr>
      <w:b w:val="0"/>
    </w:rPr>
  </w:style>
  <w:style w:type="paragraph" w:customStyle="1" w:styleId="Numbparagr3AltU">
    <w:name w:val="Numb paragr 3 Alt+U"/>
    <w:basedOn w:val="Rubrik3"/>
    <w:qFormat/>
    <w:rsid w:val="006E34D1"/>
    <w:pPr>
      <w:keepNext w:val="0"/>
    </w:pPr>
    <w:rPr>
      <w:u w:val="none"/>
    </w:rPr>
  </w:style>
  <w:style w:type="paragraph" w:customStyle="1" w:styleId="Numbparagr4AltE">
    <w:name w:val="Numb paragr 4 Alt+E"/>
    <w:basedOn w:val="Rubrik4"/>
    <w:qFormat/>
    <w:rsid w:val="00796B84"/>
    <w:pPr>
      <w:keepNext w:val="0"/>
    </w:pPr>
    <w:rPr>
      <w:i w:val="0"/>
    </w:rPr>
  </w:style>
  <w:style w:type="paragraph" w:customStyle="1" w:styleId="Listlevel1aAlt5">
    <w:name w:val="List level 1 (a) Alt+5"/>
    <w:basedOn w:val="Normal"/>
    <w:uiPriority w:val="1"/>
    <w:qFormat/>
    <w:rsid w:val="00733087"/>
    <w:pPr>
      <w:numPr>
        <w:numId w:val="13"/>
      </w:numPr>
    </w:pPr>
  </w:style>
  <w:style w:type="paragraph" w:customStyle="1" w:styleId="List1Alt6">
    <w:name w:val="List 1. Alt+6"/>
    <w:basedOn w:val="Normal"/>
    <w:uiPriority w:val="2"/>
    <w:qFormat/>
    <w:rsid w:val="00424CAF"/>
    <w:pPr>
      <w:numPr>
        <w:numId w:val="12"/>
      </w:numPr>
    </w:pPr>
  </w:style>
  <w:style w:type="paragraph" w:customStyle="1" w:styleId="ListAlt7">
    <w:name w:val="List • Alt+7"/>
    <w:basedOn w:val="Normal"/>
    <w:uiPriority w:val="3"/>
    <w:qFormat/>
    <w:rsid w:val="00424CAF"/>
    <w:pPr>
      <w:numPr>
        <w:numId w:val="15"/>
      </w:numPr>
    </w:pPr>
  </w:style>
  <w:style w:type="paragraph" w:customStyle="1" w:styleId="Heading0Alt0">
    <w:name w:val="Heading 0 Alt+0"/>
    <w:basedOn w:val="Normal"/>
    <w:next w:val="Normal"/>
    <w:qFormat/>
    <w:rsid w:val="00424CAF"/>
    <w:pPr>
      <w:keepNext/>
      <w:spacing w:before="240"/>
    </w:pPr>
    <w:rPr>
      <w:b/>
      <w:sz w:val="32"/>
      <w:szCs w:val="32"/>
    </w:rPr>
  </w:style>
  <w:style w:type="paragraph" w:customStyle="1" w:styleId="Schedule">
    <w:name w:val="Schedule"/>
    <w:basedOn w:val="Normal"/>
    <w:next w:val="Normal"/>
    <w:rsid w:val="00733087"/>
    <w:pPr>
      <w:numPr>
        <w:numId w:val="14"/>
      </w:numPr>
      <w:spacing w:after="320"/>
      <w:ind w:right="-850"/>
      <w:jc w:val="right"/>
    </w:pPr>
    <w:rPr>
      <w:b/>
    </w:rPr>
  </w:style>
  <w:style w:type="paragraph" w:customStyle="1" w:styleId="ScheduleHeading">
    <w:name w:val="Schedule Heading"/>
    <w:basedOn w:val="Normal"/>
    <w:next w:val="Normal"/>
    <w:uiPriority w:val="4"/>
    <w:qFormat/>
    <w:rsid w:val="00733087"/>
    <w:pPr>
      <w:keepNext/>
    </w:pPr>
    <w:rPr>
      <w:b/>
      <w:sz w:val="32"/>
    </w:rPr>
  </w:style>
  <w:style w:type="paragraph" w:styleId="Sidhuvud">
    <w:name w:val="header"/>
    <w:aliases w:val="Header portrait"/>
    <w:basedOn w:val="Normal"/>
    <w:link w:val="SidhuvudChar"/>
    <w:uiPriority w:val="99"/>
    <w:rsid w:val="000756FA"/>
    <w:pPr>
      <w:pBdr>
        <w:bottom w:val="single" w:sz="4" w:space="6" w:color="auto"/>
      </w:pBdr>
      <w:tabs>
        <w:tab w:val="right" w:pos="8505"/>
        <w:tab w:val="right" w:pos="9356"/>
      </w:tabs>
      <w:ind w:left="-851" w:right="-851"/>
    </w:pPr>
    <w:rPr>
      <w:sz w:val="20"/>
      <w:szCs w:val="20"/>
    </w:rPr>
  </w:style>
  <w:style w:type="character" w:styleId="Sidnummer">
    <w:name w:val="page number"/>
    <w:basedOn w:val="Standardstycketeckensnitt"/>
    <w:semiHidden/>
    <w:rsid w:val="009914DC"/>
    <w:rPr>
      <w:sz w:val="20"/>
    </w:rPr>
  </w:style>
  <w:style w:type="paragraph" w:styleId="Sidfot">
    <w:name w:val="footer"/>
    <w:basedOn w:val="Normal"/>
    <w:link w:val="SidfotChar"/>
    <w:uiPriority w:val="99"/>
    <w:rsid w:val="00A54B4C"/>
    <w:pPr>
      <w:tabs>
        <w:tab w:val="center" w:pos="4536"/>
        <w:tab w:val="right" w:pos="9072"/>
      </w:tabs>
      <w:spacing w:after="0"/>
    </w:pPr>
    <w:rPr>
      <w:rFonts w:ascii="Arial Narrow" w:hAnsi="Arial Narrow"/>
      <w:sz w:val="16"/>
    </w:rPr>
  </w:style>
  <w:style w:type="paragraph" w:customStyle="1" w:styleId="Headertitlepage">
    <w:name w:val="Header title page"/>
    <w:basedOn w:val="Normal"/>
    <w:rsid w:val="000756FA"/>
    <w:pPr>
      <w:ind w:left="-851" w:right="-851"/>
      <w:jc w:val="right"/>
    </w:pPr>
    <w:rPr>
      <w:sz w:val="20"/>
    </w:rPr>
  </w:style>
  <w:style w:type="table" w:customStyle="1" w:styleId="MSA">
    <w:name w:val="MSA"/>
    <w:basedOn w:val="Normaltabell"/>
    <w:rsid w:val="00B918A3"/>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20"/>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pct10" w:color="auto" w:fill="auto"/>
      </w:tcPr>
    </w:tblStylePr>
  </w:style>
  <w:style w:type="paragraph" w:styleId="Innehll1">
    <w:name w:val="toc 1"/>
    <w:basedOn w:val="Normal"/>
    <w:next w:val="Normal"/>
    <w:uiPriority w:val="39"/>
    <w:rsid w:val="004D193C"/>
    <w:pPr>
      <w:tabs>
        <w:tab w:val="left" w:pos="567"/>
        <w:tab w:val="right" w:leader="dot" w:pos="8789"/>
      </w:tabs>
      <w:spacing w:after="120"/>
      <w:ind w:left="567" w:hanging="567"/>
    </w:pPr>
  </w:style>
  <w:style w:type="paragraph" w:styleId="Innehll2">
    <w:name w:val="toc 2"/>
    <w:basedOn w:val="Innehll1"/>
    <w:next w:val="Normal"/>
    <w:uiPriority w:val="39"/>
    <w:rsid w:val="004D193C"/>
    <w:pPr>
      <w:tabs>
        <w:tab w:val="clear" w:pos="567"/>
        <w:tab w:val="left" w:pos="1134"/>
      </w:tabs>
      <w:ind w:left="1134"/>
    </w:pPr>
    <w:rPr>
      <w:szCs w:val="22"/>
    </w:rPr>
  </w:style>
  <w:style w:type="paragraph" w:styleId="Innehll3">
    <w:name w:val="toc 3"/>
    <w:basedOn w:val="Innehll2"/>
    <w:next w:val="Normal"/>
    <w:uiPriority w:val="39"/>
    <w:rsid w:val="0001108C"/>
    <w:pPr>
      <w:tabs>
        <w:tab w:val="clear" w:pos="1134"/>
        <w:tab w:val="left" w:pos="1701"/>
      </w:tabs>
      <w:ind w:left="1701"/>
    </w:pPr>
  </w:style>
  <w:style w:type="character" w:styleId="Hyperlnk">
    <w:name w:val="Hyperlink"/>
    <w:basedOn w:val="Standardstycketeckensnitt"/>
    <w:uiPriority w:val="99"/>
    <w:rsid w:val="00AB4E9B"/>
    <w:rPr>
      <w:color w:val="0000FF"/>
      <w:u w:val="single"/>
    </w:rPr>
  </w:style>
  <w:style w:type="paragraph" w:styleId="Adress-brev">
    <w:name w:val="envelope address"/>
    <w:basedOn w:val="Normal"/>
    <w:semiHidden/>
    <w:rsid w:val="00C74AF3"/>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semiHidden/>
    <w:rsid w:val="00C74AF3"/>
  </w:style>
  <w:style w:type="character" w:styleId="AnvndHyperlnk">
    <w:name w:val="FollowedHyperlink"/>
    <w:basedOn w:val="Standardstycketeckensnitt"/>
    <w:semiHidden/>
    <w:rsid w:val="00C74AF3"/>
    <w:rPr>
      <w:color w:val="606420"/>
      <w:u w:val="single"/>
    </w:rPr>
  </w:style>
  <w:style w:type="paragraph" w:styleId="Avslutandetext">
    <w:name w:val="Closing"/>
    <w:basedOn w:val="Normal"/>
    <w:semiHidden/>
    <w:rsid w:val="00C74AF3"/>
    <w:pPr>
      <w:ind w:left="4252"/>
    </w:pPr>
  </w:style>
  <w:style w:type="paragraph" w:styleId="Avsndaradress-brev">
    <w:name w:val="envelope return"/>
    <w:basedOn w:val="Normal"/>
    <w:semiHidden/>
    <w:rsid w:val="00C74AF3"/>
    <w:rPr>
      <w:rFonts w:ascii="Arial" w:hAnsi="Arial" w:cs="Arial"/>
      <w:sz w:val="20"/>
      <w:szCs w:val="20"/>
    </w:rPr>
  </w:style>
  <w:style w:type="paragraph" w:styleId="Ballongtext">
    <w:name w:val="Balloon Text"/>
    <w:basedOn w:val="Normal"/>
    <w:semiHidden/>
    <w:rsid w:val="00C74AF3"/>
    <w:rPr>
      <w:rFonts w:ascii="Tahoma" w:hAnsi="Tahoma" w:cs="Tahoma"/>
      <w:sz w:val="16"/>
      <w:szCs w:val="16"/>
    </w:rPr>
  </w:style>
  <w:style w:type="paragraph" w:styleId="Beskrivning">
    <w:name w:val="caption"/>
    <w:basedOn w:val="Normal"/>
    <w:next w:val="Normal"/>
    <w:semiHidden/>
    <w:qFormat/>
    <w:rsid w:val="00C74AF3"/>
    <w:rPr>
      <w:b/>
      <w:bCs/>
      <w:sz w:val="20"/>
      <w:szCs w:val="20"/>
    </w:rPr>
  </w:style>
  <w:style w:type="character" w:styleId="Betoning">
    <w:name w:val="Emphasis"/>
    <w:basedOn w:val="Standardstycketeckensnitt"/>
    <w:semiHidden/>
    <w:qFormat/>
    <w:rsid w:val="00C74AF3"/>
    <w:rPr>
      <w:i/>
      <w:iCs/>
    </w:rPr>
  </w:style>
  <w:style w:type="paragraph" w:styleId="Brdtext">
    <w:name w:val="Body Text"/>
    <w:basedOn w:val="Normal"/>
    <w:semiHidden/>
    <w:rsid w:val="00C74AF3"/>
    <w:pPr>
      <w:spacing w:after="120"/>
    </w:pPr>
  </w:style>
  <w:style w:type="paragraph" w:styleId="Brdtext2">
    <w:name w:val="Body Text 2"/>
    <w:basedOn w:val="Normal"/>
    <w:semiHidden/>
    <w:rsid w:val="00C74AF3"/>
    <w:pPr>
      <w:spacing w:after="120" w:line="480" w:lineRule="auto"/>
    </w:pPr>
  </w:style>
  <w:style w:type="paragraph" w:styleId="Brdtext3">
    <w:name w:val="Body Text 3"/>
    <w:basedOn w:val="Normal"/>
    <w:semiHidden/>
    <w:rsid w:val="00C74AF3"/>
    <w:pPr>
      <w:spacing w:after="120"/>
    </w:pPr>
    <w:rPr>
      <w:sz w:val="16"/>
      <w:szCs w:val="16"/>
    </w:rPr>
  </w:style>
  <w:style w:type="paragraph" w:styleId="Brdtextmedfrstaindrag">
    <w:name w:val="Body Text First Indent"/>
    <w:basedOn w:val="Brdtext"/>
    <w:semiHidden/>
    <w:rsid w:val="00C74AF3"/>
    <w:pPr>
      <w:ind w:firstLine="210"/>
    </w:pPr>
  </w:style>
  <w:style w:type="paragraph" w:styleId="Brdtextmedindrag">
    <w:name w:val="Body Text Indent"/>
    <w:basedOn w:val="Normal"/>
    <w:semiHidden/>
    <w:rsid w:val="00C74AF3"/>
    <w:pPr>
      <w:spacing w:after="120"/>
      <w:ind w:left="283"/>
    </w:pPr>
  </w:style>
  <w:style w:type="paragraph" w:styleId="Brdtextmedfrstaindrag2">
    <w:name w:val="Body Text First Indent 2"/>
    <w:basedOn w:val="Brdtextmedindrag"/>
    <w:semiHidden/>
    <w:rsid w:val="00C74AF3"/>
    <w:pPr>
      <w:ind w:firstLine="210"/>
    </w:pPr>
  </w:style>
  <w:style w:type="paragraph" w:styleId="Brdtextmedindrag2">
    <w:name w:val="Body Text Indent 2"/>
    <w:basedOn w:val="Normal"/>
    <w:semiHidden/>
    <w:rsid w:val="00C74AF3"/>
    <w:pPr>
      <w:spacing w:after="120" w:line="480" w:lineRule="auto"/>
      <w:ind w:left="283"/>
    </w:pPr>
  </w:style>
  <w:style w:type="paragraph" w:styleId="Brdtextmedindrag3">
    <w:name w:val="Body Text Indent 3"/>
    <w:basedOn w:val="Normal"/>
    <w:semiHidden/>
    <w:rsid w:val="00C74AF3"/>
    <w:pPr>
      <w:spacing w:after="120"/>
      <w:ind w:left="283"/>
    </w:pPr>
    <w:rPr>
      <w:sz w:val="16"/>
      <w:szCs w:val="16"/>
    </w:rPr>
  </w:style>
  <w:style w:type="paragraph" w:styleId="Citatfrteckning">
    <w:name w:val="table of authorities"/>
    <w:basedOn w:val="Normal"/>
    <w:next w:val="Normal"/>
    <w:semiHidden/>
    <w:rsid w:val="00C74AF3"/>
    <w:pPr>
      <w:ind w:left="240" w:hanging="240"/>
    </w:pPr>
  </w:style>
  <w:style w:type="paragraph" w:styleId="Citatfrteckningsrubrik">
    <w:name w:val="toa heading"/>
    <w:basedOn w:val="Normal"/>
    <w:next w:val="Normal"/>
    <w:semiHidden/>
    <w:rsid w:val="00C74AF3"/>
    <w:pPr>
      <w:spacing w:before="120"/>
    </w:pPr>
    <w:rPr>
      <w:rFonts w:ascii="Arial" w:hAnsi="Arial" w:cs="Arial"/>
      <w:b/>
      <w:bCs/>
    </w:rPr>
  </w:style>
  <w:style w:type="paragraph" w:styleId="Datum">
    <w:name w:val="Date"/>
    <w:basedOn w:val="Normal"/>
    <w:next w:val="Normal"/>
    <w:semiHidden/>
    <w:rsid w:val="00C74AF3"/>
  </w:style>
  <w:style w:type="table" w:styleId="Diskrettabell1">
    <w:name w:val="Table Subtle 1"/>
    <w:basedOn w:val="Normaltabell"/>
    <w:semiHidden/>
    <w:rsid w:val="00C74AF3"/>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74AF3"/>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semiHidden/>
    <w:rsid w:val="00C74AF3"/>
    <w:pPr>
      <w:shd w:val="clear" w:color="auto" w:fill="000080"/>
    </w:pPr>
    <w:rPr>
      <w:rFonts w:ascii="Tahoma" w:hAnsi="Tahoma" w:cs="Tahoma"/>
      <w:sz w:val="20"/>
      <w:szCs w:val="20"/>
    </w:rPr>
  </w:style>
  <w:style w:type="table" w:styleId="Eleganttabell">
    <w:name w:val="Table Elegant"/>
    <w:basedOn w:val="Normaltabell"/>
    <w:semiHidden/>
    <w:rsid w:val="00C74AF3"/>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74AF3"/>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74AF3"/>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74AF3"/>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74AF3"/>
  </w:style>
  <w:style w:type="paragraph" w:styleId="Figurfrteckning">
    <w:name w:val="table of figures"/>
    <w:basedOn w:val="Normal"/>
    <w:next w:val="Normal"/>
    <w:semiHidden/>
    <w:rsid w:val="00C74AF3"/>
  </w:style>
  <w:style w:type="character" w:styleId="Fotnotsreferens">
    <w:name w:val="footnote reference"/>
    <w:basedOn w:val="Standardstycketeckensnitt"/>
    <w:rsid w:val="00C74AF3"/>
    <w:rPr>
      <w:vertAlign w:val="superscript"/>
    </w:rPr>
  </w:style>
  <w:style w:type="paragraph" w:styleId="Fotnotstext">
    <w:name w:val="footnote text"/>
    <w:basedOn w:val="Normal"/>
    <w:link w:val="FotnotstextChar"/>
    <w:rsid w:val="00695FB3"/>
    <w:pPr>
      <w:keepLines/>
      <w:spacing w:after="60"/>
    </w:pPr>
    <w:rPr>
      <w:sz w:val="20"/>
      <w:szCs w:val="20"/>
    </w:rPr>
  </w:style>
  <w:style w:type="table" w:styleId="Frgadtabell1">
    <w:name w:val="Table Colorful 1"/>
    <w:basedOn w:val="Normaltabell"/>
    <w:semiHidden/>
    <w:rsid w:val="00C74AF3"/>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74AF3"/>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74AF3"/>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74AF3"/>
    <w:rPr>
      <w:i/>
      <w:iCs/>
    </w:rPr>
  </w:style>
  <w:style w:type="character" w:styleId="HTML-akronym">
    <w:name w:val="HTML Acronym"/>
    <w:basedOn w:val="Standardstycketeckensnitt"/>
    <w:semiHidden/>
    <w:rsid w:val="00C74AF3"/>
  </w:style>
  <w:style w:type="character" w:styleId="HTML-citat">
    <w:name w:val="HTML Cite"/>
    <w:basedOn w:val="Standardstycketeckensnitt"/>
    <w:semiHidden/>
    <w:rsid w:val="00C74AF3"/>
    <w:rPr>
      <w:i/>
      <w:iCs/>
    </w:rPr>
  </w:style>
  <w:style w:type="character" w:styleId="HTML-definition">
    <w:name w:val="HTML Definition"/>
    <w:basedOn w:val="Standardstycketeckensnitt"/>
    <w:semiHidden/>
    <w:rsid w:val="00C74AF3"/>
    <w:rPr>
      <w:i/>
      <w:iCs/>
    </w:rPr>
  </w:style>
  <w:style w:type="character" w:styleId="HTML-exempel">
    <w:name w:val="HTML Sample"/>
    <w:basedOn w:val="Standardstycketeckensnitt"/>
    <w:semiHidden/>
    <w:rsid w:val="00C74AF3"/>
    <w:rPr>
      <w:rFonts w:ascii="Courier New" w:hAnsi="Courier New" w:cs="Courier New"/>
    </w:rPr>
  </w:style>
  <w:style w:type="paragraph" w:styleId="HTML-frformaterad">
    <w:name w:val="HTML Preformatted"/>
    <w:basedOn w:val="Normal"/>
    <w:semiHidden/>
    <w:rsid w:val="00C74AF3"/>
    <w:rPr>
      <w:rFonts w:ascii="Courier New" w:hAnsi="Courier New" w:cs="Courier New"/>
      <w:sz w:val="20"/>
      <w:szCs w:val="20"/>
    </w:rPr>
  </w:style>
  <w:style w:type="character" w:styleId="HTML-kod">
    <w:name w:val="HTML Code"/>
    <w:basedOn w:val="Standardstycketeckensnitt"/>
    <w:semiHidden/>
    <w:rsid w:val="00C74AF3"/>
    <w:rPr>
      <w:rFonts w:ascii="Courier New" w:hAnsi="Courier New" w:cs="Courier New"/>
      <w:sz w:val="20"/>
      <w:szCs w:val="20"/>
    </w:rPr>
  </w:style>
  <w:style w:type="character" w:styleId="HTML-skrivmaskin">
    <w:name w:val="HTML Typewriter"/>
    <w:basedOn w:val="Standardstycketeckensnitt"/>
    <w:semiHidden/>
    <w:rsid w:val="00C74AF3"/>
    <w:rPr>
      <w:rFonts w:ascii="Courier New" w:hAnsi="Courier New" w:cs="Courier New"/>
      <w:sz w:val="20"/>
      <w:szCs w:val="20"/>
    </w:rPr>
  </w:style>
  <w:style w:type="character" w:styleId="HTML-tangentbord">
    <w:name w:val="HTML Keyboard"/>
    <w:basedOn w:val="Standardstycketeckensnitt"/>
    <w:semiHidden/>
    <w:rsid w:val="00C74AF3"/>
    <w:rPr>
      <w:rFonts w:ascii="Courier New" w:hAnsi="Courier New" w:cs="Courier New"/>
      <w:sz w:val="20"/>
      <w:szCs w:val="20"/>
    </w:rPr>
  </w:style>
  <w:style w:type="character" w:styleId="HTML-variabel">
    <w:name w:val="HTML Variable"/>
    <w:basedOn w:val="Standardstycketeckensnitt"/>
    <w:semiHidden/>
    <w:rsid w:val="00C74AF3"/>
    <w:rPr>
      <w:i/>
      <w:iCs/>
    </w:rPr>
  </w:style>
  <w:style w:type="paragraph" w:styleId="Index1">
    <w:name w:val="index 1"/>
    <w:basedOn w:val="Normal"/>
    <w:next w:val="Normal"/>
    <w:autoRedefine/>
    <w:semiHidden/>
    <w:rsid w:val="00C74AF3"/>
    <w:pPr>
      <w:ind w:left="240" w:hanging="240"/>
    </w:pPr>
  </w:style>
  <w:style w:type="paragraph" w:styleId="Index2">
    <w:name w:val="index 2"/>
    <w:basedOn w:val="Normal"/>
    <w:next w:val="Normal"/>
    <w:autoRedefine/>
    <w:semiHidden/>
    <w:rsid w:val="00C74AF3"/>
    <w:pPr>
      <w:ind w:left="480" w:hanging="240"/>
    </w:pPr>
  </w:style>
  <w:style w:type="paragraph" w:styleId="Index3">
    <w:name w:val="index 3"/>
    <w:basedOn w:val="Normal"/>
    <w:next w:val="Normal"/>
    <w:autoRedefine/>
    <w:semiHidden/>
    <w:rsid w:val="00C74AF3"/>
    <w:pPr>
      <w:ind w:left="720" w:hanging="240"/>
    </w:pPr>
  </w:style>
  <w:style w:type="paragraph" w:styleId="Index4">
    <w:name w:val="index 4"/>
    <w:basedOn w:val="Normal"/>
    <w:next w:val="Normal"/>
    <w:autoRedefine/>
    <w:semiHidden/>
    <w:rsid w:val="00C74AF3"/>
    <w:pPr>
      <w:ind w:left="960" w:hanging="240"/>
    </w:pPr>
  </w:style>
  <w:style w:type="paragraph" w:styleId="Index5">
    <w:name w:val="index 5"/>
    <w:basedOn w:val="Normal"/>
    <w:next w:val="Normal"/>
    <w:autoRedefine/>
    <w:semiHidden/>
    <w:rsid w:val="00C74AF3"/>
    <w:pPr>
      <w:ind w:left="1200" w:hanging="240"/>
    </w:pPr>
  </w:style>
  <w:style w:type="paragraph" w:styleId="Index6">
    <w:name w:val="index 6"/>
    <w:basedOn w:val="Normal"/>
    <w:next w:val="Normal"/>
    <w:autoRedefine/>
    <w:semiHidden/>
    <w:rsid w:val="00C74AF3"/>
    <w:pPr>
      <w:ind w:left="1440" w:hanging="240"/>
    </w:pPr>
  </w:style>
  <w:style w:type="paragraph" w:styleId="Index7">
    <w:name w:val="index 7"/>
    <w:basedOn w:val="Normal"/>
    <w:next w:val="Normal"/>
    <w:autoRedefine/>
    <w:semiHidden/>
    <w:rsid w:val="00C74AF3"/>
    <w:pPr>
      <w:ind w:left="1680" w:hanging="240"/>
    </w:pPr>
  </w:style>
  <w:style w:type="paragraph" w:styleId="Index8">
    <w:name w:val="index 8"/>
    <w:basedOn w:val="Normal"/>
    <w:next w:val="Normal"/>
    <w:autoRedefine/>
    <w:semiHidden/>
    <w:rsid w:val="00C74AF3"/>
    <w:pPr>
      <w:ind w:left="1920" w:hanging="240"/>
    </w:pPr>
  </w:style>
  <w:style w:type="paragraph" w:styleId="Index9">
    <w:name w:val="index 9"/>
    <w:basedOn w:val="Normal"/>
    <w:next w:val="Normal"/>
    <w:autoRedefine/>
    <w:semiHidden/>
    <w:rsid w:val="00C74AF3"/>
    <w:pPr>
      <w:ind w:left="2160" w:hanging="240"/>
    </w:pPr>
  </w:style>
  <w:style w:type="paragraph" w:styleId="Indexrubrik">
    <w:name w:val="index heading"/>
    <w:basedOn w:val="Normal"/>
    <w:next w:val="Index1"/>
    <w:semiHidden/>
    <w:rsid w:val="00C74AF3"/>
    <w:rPr>
      <w:rFonts w:ascii="Arial" w:hAnsi="Arial" w:cs="Arial"/>
      <w:b/>
      <w:bCs/>
    </w:rPr>
  </w:style>
  <w:style w:type="paragraph" w:styleId="Indragetstycke">
    <w:name w:val="Block Text"/>
    <w:basedOn w:val="Normal"/>
    <w:semiHidden/>
    <w:rsid w:val="00C74AF3"/>
    <w:pPr>
      <w:spacing w:after="120"/>
      <w:ind w:left="1440" w:right="1440"/>
    </w:pPr>
  </w:style>
  <w:style w:type="paragraph" w:styleId="Inledning">
    <w:name w:val="Salutation"/>
    <w:basedOn w:val="Normal"/>
    <w:next w:val="Normal"/>
    <w:semiHidden/>
    <w:rsid w:val="00C74AF3"/>
  </w:style>
  <w:style w:type="paragraph" w:styleId="Innehll4">
    <w:name w:val="toc 4"/>
    <w:basedOn w:val="Normal"/>
    <w:next w:val="Normal"/>
    <w:semiHidden/>
    <w:rsid w:val="004D193C"/>
    <w:pPr>
      <w:tabs>
        <w:tab w:val="left" w:pos="2552"/>
        <w:tab w:val="right" w:leader="dot" w:pos="8789"/>
      </w:tabs>
      <w:spacing w:after="120"/>
      <w:ind w:left="2552" w:hanging="851"/>
    </w:pPr>
  </w:style>
  <w:style w:type="paragraph" w:styleId="Innehll5">
    <w:name w:val="toc 5"/>
    <w:basedOn w:val="Normal"/>
    <w:next w:val="Normal"/>
    <w:semiHidden/>
    <w:rsid w:val="004D193C"/>
    <w:pPr>
      <w:tabs>
        <w:tab w:val="left" w:pos="3402"/>
        <w:tab w:val="right" w:leader="dot" w:pos="8789"/>
      </w:tabs>
      <w:spacing w:after="120"/>
      <w:ind w:left="3403" w:hanging="851"/>
    </w:pPr>
  </w:style>
  <w:style w:type="paragraph" w:styleId="Innehll6">
    <w:name w:val="toc 6"/>
    <w:basedOn w:val="Normal"/>
    <w:next w:val="Normal"/>
    <w:autoRedefine/>
    <w:semiHidden/>
    <w:rsid w:val="00C74AF3"/>
    <w:pPr>
      <w:ind w:left="1200"/>
    </w:pPr>
  </w:style>
  <w:style w:type="paragraph" w:styleId="Innehll7">
    <w:name w:val="toc 7"/>
    <w:basedOn w:val="Normal"/>
    <w:next w:val="Normal"/>
    <w:autoRedefine/>
    <w:semiHidden/>
    <w:rsid w:val="00C74AF3"/>
    <w:pPr>
      <w:ind w:left="1440"/>
    </w:pPr>
  </w:style>
  <w:style w:type="paragraph" w:styleId="Innehll8">
    <w:name w:val="toc 8"/>
    <w:basedOn w:val="Normal"/>
    <w:next w:val="Normal"/>
    <w:autoRedefine/>
    <w:semiHidden/>
    <w:rsid w:val="00C74AF3"/>
    <w:pPr>
      <w:ind w:left="1680"/>
    </w:pPr>
  </w:style>
  <w:style w:type="paragraph" w:styleId="Innehll9">
    <w:name w:val="toc 9"/>
    <w:basedOn w:val="Normal"/>
    <w:next w:val="Normal"/>
    <w:autoRedefine/>
    <w:semiHidden/>
    <w:rsid w:val="00C74AF3"/>
    <w:pPr>
      <w:ind w:left="1920"/>
    </w:pPr>
  </w:style>
  <w:style w:type="paragraph" w:styleId="Kommentarer">
    <w:name w:val="annotation text"/>
    <w:basedOn w:val="Normal"/>
    <w:semiHidden/>
    <w:rsid w:val="00C74AF3"/>
    <w:rPr>
      <w:sz w:val="20"/>
      <w:szCs w:val="20"/>
    </w:rPr>
  </w:style>
  <w:style w:type="character" w:styleId="Kommentarsreferens">
    <w:name w:val="annotation reference"/>
    <w:basedOn w:val="Standardstycketeckensnitt"/>
    <w:semiHidden/>
    <w:rsid w:val="00C74AF3"/>
    <w:rPr>
      <w:sz w:val="16"/>
      <w:szCs w:val="16"/>
    </w:rPr>
  </w:style>
  <w:style w:type="paragraph" w:styleId="Kommentarsmne">
    <w:name w:val="annotation subject"/>
    <w:basedOn w:val="Kommentarer"/>
    <w:next w:val="Kommentarer"/>
    <w:semiHidden/>
    <w:rsid w:val="00C74AF3"/>
    <w:rPr>
      <w:b/>
      <w:bCs/>
    </w:rPr>
  </w:style>
  <w:style w:type="paragraph" w:styleId="Lista">
    <w:name w:val="List"/>
    <w:basedOn w:val="Normal"/>
    <w:semiHidden/>
    <w:rsid w:val="00C74AF3"/>
    <w:pPr>
      <w:ind w:left="283" w:hanging="283"/>
    </w:pPr>
  </w:style>
  <w:style w:type="paragraph" w:styleId="Lista2">
    <w:name w:val="List 2"/>
    <w:basedOn w:val="Normal"/>
    <w:semiHidden/>
    <w:rsid w:val="00C74AF3"/>
    <w:pPr>
      <w:ind w:left="566" w:hanging="283"/>
    </w:pPr>
  </w:style>
  <w:style w:type="paragraph" w:styleId="Lista3">
    <w:name w:val="List 3"/>
    <w:basedOn w:val="Normal"/>
    <w:semiHidden/>
    <w:rsid w:val="00C74AF3"/>
    <w:pPr>
      <w:ind w:left="849" w:hanging="283"/>
    </w:pPr>
  </w:style>
  <w:style w:type="paragraph" w:styleId="Lista4">
    <w:name w:val="List 4"/>
    <w:basedOn w:val="Normal"/>
    <w:semiHidden/>
    <w:rsid w:val="00C74AF3"/>
    <w:pPr>
      <w:ind w:left="1132" w:hanging="283"/>
    </w:pPr>
  </w:style>
  <w:style w:type="paragraph" w:styleId="Lista5">
    <w:name w:val="List 5"/>
    <w:basedOn w:val="Normal"/>
    <w:semiHidden/>
    <w:rsid w:val="00C74AF3"/>
    <w:pPr>
      <w:ind w:left="1415" w:hanging="283"/>
    </w:pPr>
  </w:style>
  <w:style w:type="paragraph" w:styleId="Listafortstt">
    <w:name w:val="List Continue"/>
    <w:basedOn w:val="Normal"/>
    <w:semiHidden/>
    <w:rsid w:val="00C74AF3"/>
    <w:pPr>
      <w:spacing w:after="120"/>
      <w:ind w:left="283"/>
    </w:pPr>
  </w:style>
  <w:style w:type="paragraph" w:styleId="Listafortstt2">
    <w:name w:val="List Continue 2"/>
    <w:basedOn w:val="Normal"/>
    <w:semiHidden/>
    <w:rsid w:val="00C74AF3"/>
    <w:pPr>
      <w:spacing w:after="120"/>
      <w:ind w:left="566"/>
    </w:pPr>
  </w:style>
  <w:style w:type="paragraph" w:styleId="Listafortstt3">
    <w:name w:val="List Continue 3"/>
    <w:basedOn w:val="Normal"/>
    <w:semiHidden/>
    <w:rsid w:val="00C74AF3"/>
    <w:pPr>
      <w:spacing w:after="120"/>
      <w:ind w:left="849"/>
    </w:pPr>
  </w:style>
  <w:style w:type="paragraph" w:styleId="Listafortstt4">
    <w:name w:val="List Continue 4"/>
    <w:basedOn w:val="Normal"/>
    <w:semiHidden/>
    <w:rsid w:val="00C74AF3"/>
    <w:pPr>
      <w:spacing w:after="120"/>
      <w:ind w:left="1132"/>
    </w:pPr>
  </w:style>
  <w:style w:type="paragraph" w:styleId="Listafortstt5">
    <w:name w:val="List Continue 5"/>
    <w:basedOn w:val="Normal"/>
    <w:semiHidden/>
    <w:rsid w:val="00C74AF3"/>
    <w:pPr>
      <w:spacing w:after="120"/>
      <w:ind w:left="1415"/>
    </w:pPr>
  </w:style>
  <w:style w:type="paragraph" w:styleId="Makrotext">
    <w:name w:val="macro"/>
    <w:semiHidden/>
    <w:rsid w:val="00C74AF3"/>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lang w:val="en-GB"/>
    </w:rPr>
  </w:style>
  <w:style w:type="paragraph" w:styleId="Meddelanderubrik">
    <w:name w:val="Message Header"/>
    <w:basedOn w:val="Normal"/>
    <w:semiHidden/>
    <w:rsid w:val="00C74A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Moderntabell">
    <w:name w:val="Table Contemporary"/>
    <w:basedOn w:val="Normaltabell"/>
    <w:semiHidden/>
    <w:rsid w:val="00C74AF3"/>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C74AF3"/>
  </w:style>
  <w:style w:type="paragraph" w:styleId="Normaltindrag">
    <w:name w:val="Normal Indent"/>
    <w:basedOn w:val="Normal"/>
    <w:semiHidden/>
    <w:rsid w:val="00C74AF3"/>
    <w:pPr>
      <w:ind w:left="1304"/>
    </w:pPr>
  </w:style>
  <w:style w:type="paragraph" w:styleId="Numreradlista">
    <w:name w:val="List Number"/>
    <w:basedOn w:val="Normal"/>
    <w:semiHidden/>
    <w:rsid w:val="00C74AF3"/>
    <w:pPr>
      <w:numPr>
        <w:numId w:val="1"/>
      </w:numPr>
    </w:pPr>
  </w:style>
  <w:style w:type="paragraph" w:styleId="Numreradlista2">
    <w:name w:val="List Number 2"/>
    <w:basedOn w:val="Normal"/>
    <w:semiHidden/>
    <w:rsid w:val="00C74AF3"/>
    <w:pPr>
      <w:numPr>
        <w:numId w:val="2"/>
      </w:numPr>
    </w:pPr>
  </w:style>
  <w:style w:type="paragraph" w:styleId="Numreradlista3">
    <w:name w:val="List Number 3"/>
    <w:basedOn w:val="Normal"/>
    <w:semiHidden/>
    <w:rsid w:val="00C74AF3"/>
    <w:pPr>
      <w:numPr>
        <w:numId w:val="3"/>
      </w:numPr>
    </w:pPr>
  </w:style>
  <w:style w:type="paragraph" w:styleId="Numreradlista4">
    <w:name w:val="List Number 4"/>
    <w:basedOn w:val="Normal"/>
    <w:semiHidden/>
    <w:rsid w:val="00C74AF3"/>
    <w:pPr>
      <w:numPr>
        <w:numId w:val="4"/>
      </w:numPr>
    </w:pPr>
  </w:style>
  <w:style w:type="paragraph" w:styleId="Numreradlista5">
    <w:name w:val="List Number 5"/>
    <w:basedOn w:val="Normal"/>
    <w:semiHidden/>
    <w:rsid w:val="00C74AF3"/>
    <w:pPr>
      <w:numPr>
        <w:numId w:val="5"/>
      </w:numPr>
    </w:pPr>
  </w:style>
  <w:style w:type="paragraph" w:styleId="Oformateradtext">
    <w:name w:val="Plain Text"/>
    <w:basedOn w:val="Normal"/>
    <w:link w:val="OformateradtextChar"/>
    <w:uiPriority w:val="99"/>
    <w:semiHidden/>
    <w:rsid w:val="00C74AF3"/>
    <w:rPr>
      <w:rFonts w:ascii="Courier New" w:hAnsi="Courier New" w:cs="Courier New"/>
      <w:sz w:val="20"/>
      <w:szCs w:val="20"/>
    </w:rPr>
  </w:style>
  <w:style w:type="table" w:styleId="Professionelltabell">
    <w:name w:val="Table Professional"/>
    <w:basedOn w:val="Normaltabell"/>
    <w:semiHidden/>
    <w:rsid w:val="00C74AF3"/>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74AF3"/>
    <w:pPr>
      <w:numPr>
        <w:numId w:val="6"/>
      </w:numPr>
    </w:pPr>
  </w:style>
  <w:style w:type="paragraph" w:styleId="Punktlista2">
    <w:name w:val="List Bullet 2"/>
    <w:basedOn w:val="Normal"/>
    <w:semiHidden/>
    <w:rsid w:val="00C74AF3"/>
    <w:pPr>
      <w:numPr>
        <w:numId w:val="7"/>
      </w:numPr>
    </w:pPr>
  </w:style>
  <w:style w:type="paragraph" w:styleId="Punktlista3">
    <w:name w:val="List Bullet 3"/>
    <w:basedOn w:val="Normal"/>
    <w:semiHidden/>
    <w:rsid w:val="00C74AF3"/>
    <w:pPr>
      <w:numPr>
        <w:numId w:val="8"/>
      </w:numPr>
    </w:pPr>
  </w:style>
  <w:style w:type="paragraph" w:styleId="Punktlista4">
    <w:name w:val="List Bullet 4"/>
    <w:basedOn w:val="Normal"/>
    <w:semiHidden/>
    <w:rsid w:val="00C74AF3"/>
    <w:pPr>
      <w:numPr>
        <w:numId w:val="9"/>
      </w:numPr>
    </w:pPr>
  </w:style>
  <w:style w:type="paragraph" w:styleId="Punktlista5">
    <w:name w:val="List Bullet 5"/>
    <w:basedOn w:val="Normal"/>
    <w:semiHidden/>
    <w:rsid w:val="00C74AF3"/>
    <w:pPr>
      <w:numPr>
        <w:numId w:val="10"/>
      </w:numPr>
    </w:pPr>
  </w:style>
  <w:style w:type="character" w:styleId="Radnummer">
    <w:name w:val="line number"/>
    <w:basedOn w:val="Standardstycketeckensnitt"/>
    <w:semiHidden/>
    <w:rsid w:val="00C74AF3"/>
  </w:style>
  <w:style w:type="paragraph" w:styleId="Rubrik">
    <w:name w:val="Title"/>
    <w:basedOn w:val="Normal"/>
    <w:semiHidden/>
    <w:qFormat/>
    <w:rsid w:val="00C74AF3"/>
    <w:pPr>
      <w:spacing w:before="240" w:after="60"/>
      <w:jc w:val="center"/>
      <w:outlineLvl w:val="0"/>
    </w:pPr>
    <w:rPr>
      <w:rFonts w:ascii="Arial" w:hAnsi="Arial" w:cs="Arial"/>
      <w:b/>
      <w:bCs/>
      <w:kern w:val="28"/>
      <w:sz w:val="32"/>
      <w:szCs w:val="32"/>
    </w:rPr>
  </w:style>
  <w:style w:type="paragraph" w:styleId="Signatur">
    <w:name w:val="Signature"/>
    <w:basedOn w:val="Normal"/>
    <w:semiHidden/>
    <w:rsid w:val="00C74AF3"/>
    <w:pPr>
      <w:ind w:left="4252"/>
    </w:pPr>
  </w:style>
  <w:style w:type="paragraph" w:styleId="Slutnotstext">
    <w:name w:val="endnote text"/>
    <w:basedOn w:val="Normal"/>
    <w:semiHidden/>
    <w:rsid w:val="00C74AF3"/>
    <w:rPr>
      <w:sz w:val="20"/>
      <w:szCs w:val="20"/>
    </w:rPr>
  </w:style>
  <w:style w:type="character" w:styleId="Slutnotsreferens">
    <w:name w:val="endnote reference"/>
    <w:basedOn w:val="Standardstycketeckensnitt"/>
    <w:semiHidden/>
    <w:rsid w:val="00C74AF3"/>
    <w:rPr>
      <w:vertAlign w:val="superscript"/>
    </w:rPr>
  </w:style>
  <w:style w:type="table" w:styleId="Standardtabell1">
    <w:name w:val="Table Classic 1"/>
    <w:basedOn w:val="Normaltabell"/>
    <w:semiHidden/>
    <w:rsid w:val="00C74AF3"/>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74AF3"/>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74AF3"/>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74AF3"/>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C74AF3"/>
    <w:rPr>
      <w:b/>
      <w:bCs/>
    </w:rPr>
  </w:style>
  <w:style w:type="table" w:styleId="Tabellmed3D-effekter1">
    <w:name w:val="Table 3D effects 1"/>
    <w:basedOn w:val="Normaltabell"/>
    <w:semiHidden/>
    <w:rsid w:val="00C74AF3"/>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74AF3"/>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74AF3"/>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74AF3"/>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74AF3"/>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74AF3"/>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74AF3"/>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74AF3"/>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74AF3"/>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74AF3"/>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74AF3"/>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74AF3"/>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74AF3"/>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74AF3"/>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74AF3"/>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74AF3"/>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C74AF3"/>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C74AF3"/>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74AF3"/>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74AF3"/>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74AF3"/>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74AF3"/>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74AF3"/>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74AF3"/>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74AF3"/>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74AF3"/>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semiHidden/>
    <w:qFormat/>
    <w:rsid w:val="00C74AF3"/>
    <w:pPr>
      <w:spacing w:after="60"/>
      <w:jc w:val="center"/>
      <w:outlineLvl w:val="1"/>
    </w:pPr>
    <w:rPr>
      <w:rFonts w:ascii="Arial" w:hAnsi="Arial" w:cs="Arial"/>
    </w:rPr>
  </w:style>
  <w:style w:type="table" w:styleId="Webbtabell1">
    <w:name w:val="Table Web 1"/>
    <w:basedOn w:val="Normaltabell"/>
    <w:semiHidden/>
    <w:rsid w:val="00C74AF3"/>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74AF3"/>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74AF3"/>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erlandscape">
    <w:name w:val="Header landscape"/>
    <w:basedOn w:val="Sidhuvud"/>
    <w:rsid w:val="000756FA"/>
    <w:pPr>
      <w:tabs>
        <w:tab w:val="clear" w:pos="8505"/>
        <w:tab w:val="clear" w:pos="9356"/>
        <w:tab w:val="right" w:pos="13721"/>
        <w:tab w:val="right" w:pos="14572"/>
      </w:tabs>
      <w:ind w:left="-567" w:right="-567"/>
    </w:pPr>
  </w:style>
  <w:style w:type="paragraph" w:customStyle="1" w:styleId="Listlevel2i">
    <w:name w:val="List level 2 (i)"/>
    <w:uiPriority w:val="1"/>
    <w:qFormat/>
    <w:rsid w:val="00BA7A5D"/>
    <w:pPr>
      <w:numPr>
        <w:ilvl w:val="1"/>
        <w:numId w:val="13"/>
      </w:numPr>
      <w:spacing w:after="240"/>
    </w:pPr>
    <w:rPr>
      <w:sz w:val="22"/>
      <w:szCs w:val="24"/>
      <w:lang w:val="en-GB"/>
    </w:rPr>
  </w:style>
  <w:style w:type="paragraph" w:customStyle="1" w:styleId="Listlevel3A">
    <w:name w:val="List level 3  (A)"/>
    <w:uiPriority w:val="1"/>
    <w:qFormat/>
    <w:rsid w:val="00BA7A5D"/>
    <w:pPr>
      <w:numPr>
        <w:ilvl w:val="2"/>
        <w:numId w:val="13"/>
      </w:numPr>
      <w:spacing w:after="240"/>
    </w:pPr>
    <w:rPr>
      <w:sz w:val="22"/>
      <w:szCs w:val="24"/>
      <w:lang w:val="en-GB"/>
    </w:rPr>
  </w:style>
  <w:style w:type="paragraph" w:customStyle="1" w:styleId="ScheduleHeading1">
    <w:name w:val="Schedule Heading 1"/>
    <w:next w:val="NormalwithindentAltD"/>
    <w:uiPriority w:val="5"/>
    <w:qFormat/>
    <w:rsid w:val="00BA7A5D"/>
    <w:pPr>
      <w:keepNext/>
      <w:numPr>
        <w:ilvl w:val="2"/>
        <w:numId w:val="14"/>
      </w:numPr>
      <w:spacing w:before="240" w:after="240"/>
    </w:pPr>
    <w:rPr>
      <w:b/>
      <w:sz w:val="28"/>
      <w:szCs w:val="22"/>
      <w:lang w:val="en-GB"/>
    </w:rPr>
  </w:style>
  <w:style w:type="paragraph" w:customStyle="1" w:styleId="ScheduleHeading2">
    <w:name w:val="Schedule Heading 2"/>
    <w:next w:val="NormalwithindentAltD"/>
    <w:rsid w:val="00B33567"/>
    <w:pPr>
      <w:keepNext/>
      <w:numPr>
        <w:ilvl w:val="3"/>
        <w:numId w:val="14"/>
      </w:numPr>
      <w:spacing w:after="240"/>
    </w:pPr>
    <w:rPr>
      <w:b/>
      <w:sz w:val="22"/>
      <w:szCs w:val="24"/>
      <w:lang w:val="en-GB"/>
    </w:rPr>
  </w:style>
  <w:style w:type="paragraph" w:customStyle="1" w:styleId="ScheduleHeading3">
    <w:name w:val="Schedule Heading 3"/>
    <w:next w:val="NormalwithindentAltD"/>
    <w:rsid w:val="00B33567"/>
    <w:pPr>
      <w:keepNext/>
      <w:numPr>
        <w:ilvl w:val="4"/>
        <w:numId w:val="14"/>
      </w:numPr>
      <w:spacing w:after="240"/>
    </w:pPr>
    <w:rPr>
      <w:sz w:val="22"/>
      <w:szCs w:val="24"/>
      <w:u w:val="single"/>
      <w:lang w:val="en-GB"/>
    </w:rPr>
  </w:style>
  <w:style w:type="paragraph" w:customStyle="1" w:styleId="ScheduleHeadingToC">
    <w:name w:val="Schedule Heading ToC"/>
    <w:basedOn w:val="Normal"/>
    <w:next w:val="Normal"/>
    <w:semiHidden/>
    <w:rsid w:val="00CE0FF0"/>
    <w:pPr>
      <w:keepNext/>
      <w:numPr>
        <w:ilvl w:val="1"/>
        <w:numId w:val="14"/>
      </w:numPr>
    </w:pPr>
    <w:rPr>
      <w:b/>
      <w:sz w:val="32"/>
    </w:rPr>
  </w:style>
  <w:style w:type="paragraph" w:customStyle="1" w:styleId="List-sublist">
    <w:name w:val="List - (sublist)"/>
    <w:basedOn w:val="ListAlt7"/>
    <w:uiPriority w:val="3"/>
    <w:semiHidden/>
    <w:qFormat/>
    <w:rsid w:val="00D24E49"/>
    <w:pPr>
      <w:numPr>
        <w:ilvl w:val="1"/>
      </w:numPr>
    </w:pPr>
  </w:style>
  <w:style w:type="table" w:customStyle="1" w:styleId="Adresstabell1">
    <w:name w:val="Adresstabell1"/>
    <w:basedOn w:val="Normaltabell"/>
    <w:rsid w:val="00BF6304"/>
    <w:rPr>
      <w:lang w:eastAsia="zh-CN"/>
    </w:rPr>
    <w:tblPr/>
  </w:style>
  <w:style w:type="paragraph" w:customStyle="1" w:styleId="QuotationAltC">
    <w:name w:val="Quotation Alt+C"/>
    <w:qFormat/>
    <w:rsid w:val="000361E8"/>
    <w:pPr>
      <w:spacing w:after="360"/>
      <w:ind w:left="1588" w:right="578"/>
    </w:pPr>
    <w:rPr>
      <w:szCs w:val="24"/>
      <w:lang w:val="en-GB"/>
    </w:rPr>
  </w:style>
  <w:style w:type="paragraph" w:customStyle="1" w:styleId="Tabletext-Normal">
    <w:name w:val="Table text - Normal"/>
    <w:basedOn w:val="Normal"/>
    <w:qFormat/>
    <w:rsid w:val="00741A9E"/>
    <w:pPr>
      <w:spacing w:before="120" w:after="120"/>
    </w:pPr>
  </w:style>
  <w:style w:type="paragraph" w:customStyle="1" w:styleId="AODocTxt">
    <w:name w:val="AODocTxt"/>
    <w:basedOn w:val="Normal"/>
    <w:rsid w:val="00933FA0"/>
    <w:pPr>
      <w:spacing w:before="240" w:after="0" w:line="260" w:lineRule="atLeast"/>
      <w:jc w:val="both"/>
    </w:pPr>
    <w:rPr>
      <w:rFonts w:eastAsiaTheme="minorHAnsi"/>
      <w:szCs w:val="22"/>
      <w:lang w:eastAsia="en-US"/>
    </w:rPr>
  </w:style>
  <w:style w:type="character" w:customStyle="1" w:styleId="FotnotstextChar">
    <w:name w:val="Fotnotstext Char"/>
    <w:basedOn w:val="Standardstycketeckensnitt"/>
    <w:link w:val="Fotnotstext"/>
    <w:uiPriority w:val="98"/>
    <w:rsid w:val="00933FA0"/>
    <w:rPr>
      <w:lang w:val="en-GB"/>
    </w:rPr>
  </w:style>
  <w:style w:type="paragraph" w:customStyle="1" w:styleId="AOListNumber">
    <w:name w:val="AOListNumber"/>
    <w:basedOn w:val="Normal"/>
    <w:rsid w:val="00933FA0"/>
    <w:pPr>
      <w:numPr>
        <w:numId w:val="16"/>
      </w:numPr>
      <w:tabs>
        <w:tab w:val="clear" w:pos="720"/>
      </w:tabs>
      <w:spacing w:before="240" w:after="0" w:line="260" w:lineRule="atLeast"/>
      <w:jc w:val="both"/>
    </w:pPr>
    <w:rPr>
      <w:rFonts w:eastAsiaTheme="minorHAnsi"/>
      <w:szCs w:val="22"/>
      <w:lang w:eastAsia="en-US"/>
    </w:rPr>
  </w:style>
  <w:style w:type="paragraph" w:styleId="Liststycke">
    <w:name w:val="List Paragraph"/>
    <w:basedOn w:val="Normal"/>
    <w:uiPriority w:val="34"/>
    <w:qFormat/>
    <w:rsid w:val="00933FA0"/>
    <w:pPr>
      <w:spacing w:after="0" w:line="260" w:lineRule="atLeast"/>
      <w:ind w:left="720"/>
      <w:contextualSpacing/>
    </w:pPr>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uiPriority w:val="99"/>
    <w:rsid w:val="006D6010"/>
    <w:rPr>
      <w:rFonts w:ascii="Arial Narrow" w:hAnsi="Arial Narrow"/>
      <w:sz w:val="16"/>
      <w:szCs w:val="24"/>
      <w:lang w:val="en-GB"/>
    </w:rPr>
  </w:style>
  <w:style w:type="character" w:customStyle="1" w:styleId="OformateradtextChar">
    <w:name w:val="Oformaterad text Char"/>
    <w:basedOn w:val="Standardstycketeckensnitt"/>
    <w:link w:val="Oformateradtext"/>
    <w:uiPriority w:val="99"/>
    <w:semiHidden/>
    <w:rsid w:val="0061350B"/>
    <w:rPr>
      <w:rFonts w:ascii="Courier New" w:hAnsi="Courier New" w:cs="Courier New"/>
      <w:lang w:val="en-GB"/>
    </w:rPr>
  </w:style>
  <w:style w:type="character" w:customStyle="1" w:styleId="Olstomnmnande1">
    <w:name w:val="Olöst omnämnande1"/>
    <w:basedOn w:val="Standardstycketeckensnitt"/>
    <w:uiPriority w:val="99"/>
    <w:semiHidden/>
    <w:unhideWhenUsed/>
    <w:rsid w:val="007B191B"/>
    <w:rPr>
      <w:color w:val="605E5C"/>
      <w:shd w:val="clear" w:color="auto" w:fill="E1DFDD"/>
    </w:rPr>
  </w:style>
  <w:style w:type="paragraph" w:customStyle="1" w:styleId="Listlevel3A0">
    <w:name w:val="List level 3 (A)"/>
    <w:uiPriority w:val="1"/>
    <w:qFormat/>
    <w:rsid w:val="008B054A"/>
    <w:pPr>
      <w:tabs>
        <w:tab w:val="num" w:pos="2166"/>
      </w:tabs>
      <w:spacing w:after="240"/>
      <w:ind w:left="2166" w:hanging="579"/>
    </w:pPr>
    <w:rPr>
      <w:sz w:val="22"/>
      <w:szCs w:val="24"/>
    </w:rPr>
  </w:style>
  <w:style w:type="character" w:customStyle="1" w:styleId="SidhuvudChar">
    <w:name w:val="Sidhuvud Char"/>
    <w:aliases w:val="Header portrait Char"/>
    <w:basedOn w:val="Standardstycketeckensnitt"/>
    <w:link w:val="Sidhuvud"/>
    <w:uiPriority w:val="99"/>
    <w:rsid w:val="007036B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225">
      <w:bodyDiv w:val="1"/>
      <w:marLeft w:val="0"/>
      <w:marRight w:val="0"/>
      <w:marTop w:val="0"/>
      <w:marBottom w:val="0"/>
      <w:divBdr>
        <w:top w:val="none" w:sz="0" w:space="0" w:color="auto"/>
        <w:left w:val="none" w:sz="0" w:space="0" w:color="auto"/>
        <w:bottom w:val="none" w:sz="0" w:space="0" w:color="auto"/>
        <w:right w:val="none" w:sz="0" w:space="0" w:color="auto"/>
      </w:divBdr>
    </w:div>
    <w:div w:id="306588624">
      <w:bodyDiv w:val="1"/>
      <w:marLeft w:val="0"/>
      <w:marRight w:val="0"/>
      <w:marTop w:val="0"/>
      <w:marBottom w:val="0"/>
      <w:divBdr>
        <w:top w:val="none" w:sz="0" w:space="0" w:color="auto"/>
        <w:left w:val="none" w:sz="0" w:space="0" w:color="auto"/>
        <w:bottom w:val="none" w:sz="0" w:space="0" w:color="auto"/>
        <w:right w:val="none" w:sz="0" w:space="0" w:color="auto"/>
      </w:divBdr>
    </w:div>
    <w:div w:id="912931344">
      <w:bodyDiv w:val="1"/>
      <w:marLeft w:val="0"/>
      <w:marRight w:val="0"/>
      <w:marTop w:val="0"/>
      <w:marBottom w:val="0"/>
      <w:divBdr>
        <w:top w:val="none" w:sz="0" w:space="0" w:color="auto"/>
        <w:left w:val="none" w:sz="0" w:space="0" w:color="auto"/>
        <w:bottom w:val="none" w:sz="0" w:space="0" w:color="auto"/>
        <w:right w:val="none" w:sz="0" w:space="0" w:color="auto"/>
      </w:divBdr>
    </w:div>
    <w:div w:id="1057705497">
      <w:bodyDiv w:val="1"/>
      <w:marLeft w:val="0"/>
      <w:marRight w:val="0"/>
      <w:marTop w:val="0"/>
      <w:marBottom w:val="0"/>
      <w:divBdr>
        <w:top w:val="none" w:sz="0" w:space="0" w:color="auto"/>
        <w:left w:val="none" w:sz="0" w:space="0" w:color="auto"/>
        <w:bottom w:val="none" w:sz="0" w:space="0" w:color="auto"/>
        <w:right w:val="none" w:sz="0" w:space="0" w:color="auto"/>
      </w:divBdr>
    </w:div>
    <w:div w:id="1072386504">
      <w:bodyDiv w:val="1"/>
      <w:marLeft w:val="0"/>
      <w:marRight w:val="0"/>
      <w:marTop w:val="0"/>
      <w:marBottom w:val="0"/>
      <w:divBdr>
        <w:top w:val="none" w:sz="0" w:space="0" w:color="auto"/>
        <w:left w:val="none" w:sz="0" w:space="0" w:color="auto"/>
        <w:bottom w:val="none" w:sz="0" w:space="0" w:color="auto"/>
        <w:right w:val="none" w:sz="0" w:space="0" w:color="auto"/>
      </w:divBdr>
    </w:div>
    <w:div w:id="1255551472">
      <w:bodyDiv w:val="1"/>
      <w:marLeft w:val="0"/>
      <w:marRight w:val="0"/>
      <w:marTop w:val="0"/>
      <w:marBottom w:val="0"/>
      <w:divBdr>
        <w:top w:val="none" w:sz="0" w:space="0" w:color="auto"/>
        <w:left w:val="none" w:sz="0" w:space="0" w:color="auto"/>
        <w:bottom w:val="none" w:sz="0" w:space="0" w:color="auto"/>
        <w:right w:val="none" w:sz="0" w:space="0" w:color="auto"/>
      </w:divBdr>
    </w:div>
    <w:div w:id="1426266711">
      <w:bodyDiv w:val="1"/>
      <w:marLeft w:val="0"/>
      <w:marRight w:val="0"/>
      <w:marTop w:val="0"/>
      <w:marBottom w:val="0"/>
      <w:divBdr>
        <w:top w:val="none" w:sz="0" w:space="0" w:color="auto"/>
        <w:left w:val="none" w:sz="0" w:space="0" w:color="auto"/>
        <w:bottom w:val="none" w:sz="0" w:space="0" w:color="auto"/>
        <w:right w:val="none" w:sz="0" w:space="0" w:color="auto"/>
      </w:divBdr>
    </w:div>
    <w:div w:id="1861313373">
      <w:bodyDiv w:val="1"/>
      <w:marLeft w:val="0"/>
      <w:marRight w:val="0"/>
      <w:marTop w:val="0"/>
      <w:marBottom w:val="0"/>
      <w:divBdr>
        <w:top w:val="none" w:sz="0" w:space="0" w:color="auto"/>
        <w:left w:val="none" w:sz="0" w:space="0" w:color="auto"/>
        <w:bottom w:val="none" w:sz="0" w:space="0" w:color="auto"/>
        <w:right w:val="none" w:sz="0" w:space="0" w:color="auto"/>
      </w:divBdr>
    </w:div>
    <w:div w:id="194873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handlarna.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ica@fondhandlarna.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sma.europa.eu/sites/default/files/library/esma35-43-620_guidelines_on_mifid_ii_product_governance_requirements_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SAMallar\Dokumentmallar\Generic%20p%20UK.dotm" TargetMode="External"/></Relationships>
</file>

<file path=word/theme/theme1.xml><?xml version="1.0" encoding="utf-8"?>
<a:theme xmlns:a="http://schemas.openxmlformats.org/drawingml/2006/main" name="Office Theme">
  <a:themeElements>
    <a:clrScheme name="MSA">
      <a:dk1>
        <a:sysClr val="windowText" lastClr="000000"/>
      </a:dk1>
      <a:lt1>
        <a:sysClr val="window" lastClr="FFFFFF"/>
      </a:lt1>
      <a:dk2>
        <a:srgbClr val="1F497D"/>
      </a:dk2>
      <a:lt2>
        <a:srgbClr val="EEECE1"/>
      </a:lt2>
      <a:accent1>
        <a:srgbClr val="E8D19D"/>
      </a:accent1>
      <a:accent2>
        <a:srgbClr val="8B8178"/>
      </a:accent2>
      <a:accent3>
        <a:srgbClr val="E4E9E2"/>
      </a:accent3>
      <a:accent4>
        <a:srgbClr val="A27956"/>
      </a:accent4>
      <a:accent5>
        <a:srgbClr val="F9A34D"/>
      </a:accent5>
      <a:accent6>
        <a:srgbClr val="662046"/>
      </a:accent6>
      <a:hlink>
        <a:srgbClr val="474B78"/>
      </a:hlink>
      <a:folHlink>
        <a:srgbClr val="7F7F7F"/>
      </a:folHlink>
    </a:clrScheme>
    <a:fontScheme name="MSA">
      <a:majorFont>
        <a:latin typeface="Times New Roman"/>
        <a:ea typeface="SimSun"/>
        <a:cs typeface=""/>
      </a:majorFont>
      <a:minorFont>
        <a:latin typeface="Times New Roman"/>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BFBAB5"/>
        </a:solidFill>
        <a:ln w="6350"/>
      </a:spPr>
      <a:bodyPr rtlCol="0" anchor="ctr"/>
      <a:lstStyle/>
      <a:style>
        <a:lnRef idx="2">
          <a:schemeClr val="dk1"/>
        </a:lnRef>
        <a:fillRef idx="1">
          <a:schemeClr val="lt1"/>
        </a:fillRef>
        <a:effectRef idx="0">
          <a:schemeClr val="dk1"/>
        </a:effectRef>
        <a:fontRef idx="minor">
          <a:schemeClr val="dk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2" ma:contentTypeDescription="Skapa ett nytt dokument." ma:contentTypeScope="" ma:versionID="38c9500dab9ef0b12e40972db2d32ff2">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2344731711bb7f6bef34c30e71a3cd78"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F4088-F669-4B51-98FF-F4FF23CC37C1}"/>
</file>

<file path=customXml/itemProps2.xml><?xml version="1.0" encoding="utf-8"?>
<ds:datastoreItem xmlns:ds="http://schemas.openxmlformats.org/officeDocument/2006/customXml" ds:itemID="{06E5A54D-A986-445A-AEA9-D6FC7381F231}">
  <ds:schemaRefs>
    <ds:schemaRef ds:uri="http://schemas.microsoft.com/sharepoint/v3/contenttype/forms"/>
  </ds:schemaRefs>
</ds:datastoreItem>
</file>

<file path=customXml/itemProps3.xml><?xml version="1.0" encoding="utf-8"?>
<ds:datastoreItem xmlns:ds="http://schemas.openxmlformats.org/officeDocument/2006/customXml" ds:itemID="{ECDED06B-EE51-45BF-AF2A-1B3A166B0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C38617-7887-4BEB-BAFE-68E25BD6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p UK</Template>
  <TotalTime>2</TotalTime>
  <Pages>6</Pages>
  <Words>1628</Words>
  <Characters>11312</Characters>
  <Application>Microsoft Office Word</Application>
  <DocSecurity>0</DocSecurity>
  <Lines>94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Mannheimer Swartling Advokatbyrå</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Nilsson</dc:creator>
  <dc:description>Version 4.4.4</dc:description>
  <cp:lastModifiedBy>Enel Lundblad</cp:lastModifiedBy>
  <cp:revision>2</cp:revision>
  <cp:lastPrinted>2018-04-05T19:11:00Z</cp:lastPrinted>
  <dcterms:created xsi:type="dcterms:W3CDTF">2020-09-17T12:38:00Z</dcterms:created>
  <dcterms:modified xsi:type="dcterms:W3CDTF">2020-09-17T12:38:00Z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ry template">
    <vt:lpwstr>Sweden</vt:lpwstr>
  </property>
  <property fmtid="{D5CDD505-2E9C-101B-9397-08002B2CF9AE}" pid="3" name="Category">
    <vt:lpwstr>Generic</vt:lpwstr>
  </property>
  <property fmtid="{D5CDD505-2E9C-101B-9397-08002B2CF9AE}" pid="4" name="Document">
    <vt:lpwstr>Generic p</vt:lpwstr>
  </property>
  <property fmtid="{D5CDD505-2E9C-101B-9397-08002B2CF9AE}" pid="5" name="Language">
    <vt:lpwstr>English (UK)</vt:lpwstr>
  </property>
  <property fmtid="{D5CDD505-2E9C-101B-9397-08002B2CF9AE}" pid="6" name="Name">
    <vt:lpwstr>FirstName LastName</vt:lpwstr>
  </property>
  <property fmtid="{D5CDD505-2E9C-101B-9397-08002B2CF9AE}" pid="7" name="Country">
    <vt:lpwstr>Sweden</vt:lpwstr>
  </property>
  <property fmtid="{D5CDD505-2E9C-101B-9397-08002B2CF9AE}" pid="8" name="Office">
    <vt:lpwstr>Stockholm</vt:lpwstr>
  </property>
  <property fmtid="{D5CDD505-2E9C-101B-9397-08002B2CF9AE}" pid="9" name="ID">
    <vt:lpwstr>LEGAL#16387510v15</vt:lpwstr>
  </property>
  <property fmtid="{D5CDD505-2E9C-101B-9397-08002B2CF9AE}" pid="10" name="Removed">
    <vt:lpwstr>False</vt:lpwstr>
  </property>
  <property fmtid="{D5CDD505-2E9C-101B-9397-08002B2CF9AE}" pid="11" name="ContentTypeId">
    <vt:lpwstr>0x0101002B840543499B0C478C3086ADA108ADC3</vt:lpwstr>
  </property>
</Properties>
</file>