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02C8F" w14:textId="77777777" w:rsidR="00DA51B8" w:rsidRDefault="0015312F" w:rsidP="002E6DF3">
      <w:pPr>
        <w:pStyle w:val="Rubrik1"/>
      </w:pPr>
      <w:bookmarkStart w:id="0" w:name="_GoBack"/>
      <w:bookmarkEnd w:id="0"/>
      <w:r>
        <w:t>MiFID II</w:t>
      </w:r>
      <w:r w:rsidR="00D86DCC">
        <w:t xml:space="preserve"> Product Governance </w:t>
      </w:r>
      <w:r w:rsidR="00DA51B8">
        <w:t>riders</w:t>
      </w:r>
    </w:p>
    <w:p w14:paraId="0F8A303C" w14:textId="77777777" w:rsidR="00055358" w:rsidRPr="00055358" w:rsidRDefault="00055358" w:rsidP="002E6DF3">
      <w:pPr>
        <w:pStyle w:val="Rubrik2"/>
      </w:pPr>
      <w:r w:rsidRPr="00055358">
        <w:t>Language to be</w:t>
      </w:r>
      <w:r w:rsidR="00E63924">
        <w:t xml:space="preserve"> included </w:t>
      </w:r>
      <w:r w:rsidR="009E25AC" w:rsidRPr="009E25AC">
        <w:rPr>
          <w:i/>
        </w:rPr>
        <w:t>e.g.</w:t>
      </w:r>
      <w:r w:rsidR="009E25AC">
        <w:t xml:space="preserve"> </w:t>
      </w:r>
      <w:r w:rsidR="00E63924">
        <w:t>in the beginning of an MTN prospectus</w:t>
      </w:r>
    </w:p>
    <w:p w14:paraId="43692FCF" w14:textId="77777777" w:rsidR="00DA51B8" w:rsidRDefault="00055358" w:rsidP="002E6DF3">
      <w:r w:rsidRPr="00055358">
        <w:t>The Final Terms</w:t>
      </w:r>
      <w:r w:rsidR="00E13F48">
        <w:rPr>
          <w:rStyle w:val="Fotnotsreferens"/>
        </w:rPr>
        <w:footnoteReference w:id="1"/>
      </w:r>
      <w:r w:rsidRPr="00055358">
        <w:t xml:space="preserve"> in respect of any </w:t>
      </w:r>
      <w:r w:rsidR="002F3CC1">
        <w:t xml:space="preserve">[Notes] </w:t>
      </w:r>
      <w:r>
        <w:t xml:space="preserve">will </w:t>
      </w:r>
      <w:r w:rsidRPr="00055358">
        <w:t xml:space="preserve">include the target market assessment in respect of the </w:t>
      </w:r>
      <w:r w:rsidR="008E321C">
        <w:t>[</w:t>
      </w:r>
      <w:r w:rsidRPr="00055358">
        <w:t>Notes</w:t>
      </w:r>
      <w:r w:rsidR="008E321C">
        <w:t>]</w:t>
      </w:r>
      <w:r w:rsidRPr="00055358">
        <w:t xml:space="preserve"> </w:t>
      </w:r>
      <w:r w:rsidR="002F3CC1">
        <w:t>and appropriate</w:t>
      </w:r>
      <w:r w:rsidRPr="00055358">
        <w:t xml:space="preserve"> c</w:t>
      </w:r>
      <w:r w:rsidR="002F3CC1">
        <w:t>hannels for distribution of the [</w:t>
      </w:r>
      <w:r w:rsidRPr="00055358">
        <w:t>Notes</w:t>
      </w:r>
      <w:r w:rsidR="002F3CC1">
        <w:t>]</w:t>
      </w:r>
      <w:r w:rsidRPr="00055358">
        <w:t>. Any person subsequently offering, sellin</w:t>
      </w:r>
      <w:r w:rsidR="00761B6C">
        <w:t xml:space="preserve">g or recommending the </w:t>
      </w:r>
      <w:r w:rsidR="005F0D8B">
        <w:t>[</w:t>
      </w:r>
      <w:r w:rsidR="00761B6C">
        <w:t>Notes</w:t>
      </w:r>
      <w:r w:rsidR="005F0D8B">
        <w:t>]</w:t>
      </w:r>
      <w:r w:rsidR="00761B6C">
        <w:t xml:space="preserve"> (a “</w:t>
      </w:r>
      <w:r w:rsidRPr="00761B6C">
        <w:rPr>
          <w:b/>
        </w:rPr>
        <w:t>distributor</w:t>
      </w:r>
      <w:r w:rsidR="00761B6C" w:rsidRPr="005F0D8B">
        <w:t>”</w:t>
      </w:r>
      <w:r w:rsidRPr="00055358">
        <w:t>) should take into consideration the target market as</w:t>
      </w:r>
      <w:r w:rsidR="008E321C">
        <w:t>sessment. H</w:t>
      </w:r>
      <w:r w:rsidRPr="00055358">
        <w:t>owever, a distributor subject to [Dir</w:t>
      </w:r>
      <w:r w:rsidR="005F0D8B">
        <w:t>ective 2014/65/EU (as amended, “</w:t>
      </w:r>
      <w:r w:rsidRPr="00761B6C">
        <w:rPr>
          <w:b/>
        </w:rPr>
        <w:t>MiFID II</w:t>
      </w:r>
      <w:r w:rsidR="005F0D8B">
        <w:t>”</w:t>
      </w:r>
      <w:r w:rsidRPr="00055358">
        <w:t xml:space="preserve">)/MiFID II] is responsible for undertaking its own target market assessment in respect of the </w:t>
      </w:r>
      <w:r w:rsidR="002F3CC1">
        <w:t>[</w:t>
      </w:r>
      <w:r w:rsidRPr="00055358">
        <w:t>Notes</w:t>
      </w:r>
      <w:r w:rsidR="002F3CC1">
        <w:t>]</w:t>
      </w:r>
      <w:r w:rsidRPr="00055358">
        <w:t xml:space="preserve"> (by either adopting or refining the target market assessment) and determining appropriate distribution channels. </w:t>
      </w:r>
    </w:p>
    <w:p w14:paraId="355BF303" w14:textId="77777777" w:rsidR="00E940F1" w:rsidRDefault="00636FD3" w:rsidP="002E6DF3">
      <w:r>
        <w:t>F</w:t>
      </w:r>
      <w:r w:rsidRPr="00E940F1">
        <w:t>or the purpose of the MiFID Product Governance rules under EU Delegated Directive 2017/593 (the “</w:t>
      </w:r>
      <w:r w:rsidRPr="00E940F1">
        <w:rPr>
          <w:b/>
        </w:rPr>
        <w:t>MiFID Product Governance Rules</w:t>
      </w:r>
      <w:r w:rsidRPr="005F0D8B">
        <w:t>”</w:t>
      </w:r>
      <w:r w:rsidRPr="00E940F1">
        <w:t>)</w:t>
      </w:r>
      <w:r>
        <w:t>, a</w:t>
      </w:r>
      <w:r w:rsidR="00E940F1" w:rsidRPr="00E940F1">
        <w:t xml:space="preserve"> determination will be made in relati</w:t>
      </w:r>
      <w:r>
        <w:t>on to each issue about whether</w:t>
      </w:r>
      <w:r w:rsidR="00A25466">
        <w:t xml:space="preserve"> the Arranger or</w:t>
      </w:r>
      <w:r>
        <w:t xml:space="preserve"> </w:t>
      </w:r>
      <w:r w:rsidR="00E940F1" w:rsidRPr="00E940F1">
        <w:t>a</w:t>
      </w:r>
      <w:r w:rsidR="00EF05F0">
        <w:t>ny</w:t>
      </w:r>
      <w:r w:rsidR="00D525FB">
        <w:t xml:space="preserve"> </w:t>
      </w:r>
      <w:r w:rsidR="00EF05F0" w:rsidRPr="00EF05F0">
        <w:t xml:space="preserve">Dealer </w:t>
      </w:r>
      <w:r w:rsidR="00237530">
        <w:t>part</w:t>
      </w:r>
      <w:r w:rsidR="00C84C9D">
        <w:t>icipating in</w:t>
      </w:r>
      <w:r w:rsidR="00492A92">
        <w:t xml:space="preserve"> </w:t>
      </w:r>
      <w:r w:rsidR="00C84C9D">
        <w:t>the</w:t>
      </w:r>
      <w:r w:rsidR="00EF05F0" w:rsidRPr="00EF05F0">
        <w:t xml:space="preserve"> issue of the [Notes] is a manufacturer </w:t>
      </w:r>
      <w:r w:rsidR="00E940F1" w:rsidRPr="00E940F1">
        <w:t xml:space="preserve">in respect of such </w:t>
      </w:r>
      <w:r w:rsidR="005F0D8B">
        <w:t>[</w:t>
      </w:r>
      <w:r w:rsidR="00E940F1" w:rsidRPr="00E940F1">
        <w:t>Notes</w:t>
      </w:r>
      <w:r w:rsidR="005F0D8B">
        <w:t>]</w:t>
      </w:r>
      <w:r w:rsidR="00BA6B74">
        <w:t>.</w:t>
      </w:r>
      <w:r w:rsidR="00C25FF8" w:rsidRPr="00C25FF8">
        <w:rPr>
          <w:rStyle w:val="Fotnotsreferens"/>
        </w:rPr>
        <w:t xml:space="preserve"> </w:t>
      </w:r>
      <w:r w:rsidR="00C25FF8">
        <w:rPr>
          <w:rStyle w:val="Fotnotsreferens"/>
        </w:rPr>
        <w:footnoteReference w:id="2"/>
      </w:r>
      <w:r w:rsidR="00C25FF8">
        <w:t xml:space="preserve"> </w:t>
      </w:r>
      <w:r w:rsidR="00497D80">
        <w:t>N</w:t>
      </w:r>
      <w:r w:rsidR="00E940F1" w:rsidRPr="00D525FB">
        <w:t xml:space="preserve">either the Arranger nor the Dealers nor any of their respective affiliates </w:t>
      </w:r>
      <w:r w:rsidR="00497D80">
        <w:t xml:space="preserve">that do not participate in an issue </w:t>
      </w:r>
      <w:r w:rsidR="00E940F1" w:rsidRPr="00D525FB">
        <w:t>will be a manufacturer for the purpose</w:t>
      </w:r>
      <w:r w:rsidR="00E940F1" w:rsidRPr="00E940F1">
        <w:t xml:space="preserve"> of the MIFID Product Governance Rules.</w:t>
      </w:r>
      <w:r w:rsidR="000C1DC2" w:rsidRPr="000C1DC2">
        <w:rPr>
          <w:rStyle w:val="Fotnotsreferens"/>
        </w:rPr>
        <w:t xml:space="preserve"> </w:t>
      </w:r>
    </w:p>
    <w:p w14:paraId="238699A0" w14:textId="77777777" w:rsidR="00055358" w:rsidRPr="00055358" w:rsidRDefault="00055358" w:rsidP="002E6DF3">
      <w:pPr>
        <w:pStyle w:val="Rubrik2"/>
      </w:pPr>
      <w:r w:rsidRPr="00055358">
        <w:t>Language to be included</w:t>
      </w:r>
      <w:r w:rsidR="009E25AC">
        <w:t xml:space="preserve"> </w:t>
      </w:r>
      <w:r w:rsidR="009E25AC" w:rsidRPr="009E25AC">
        <w:rPr>
          <w:i/>
        </w:rPr>
        <w:t>e.g.</w:t>
      </w:r>
      <w:r w:rsidRPr="00055358">
        <w:t xml:space="preserve"> in</w:t>
      </w:r>
      <w:r w:rsidR="00043C35">
        <w:t xml:space="preserve"> a sep</w:t>
      </w:r>
      <w:r w:rsidR="00460592">
        <w:t>arate agreement between the dea</w:t>
      </w:r>
      <w:r w:rsidR="00043C35">
        <w:t>lers,</w:t>
      </w:r>
      <w:r w:rsidR="0053198D">
        <w:t xml:space="preserve"> an investor presentation</w:t>
      </w:r>
      <w:r w:rsidR="00043C35">
        <w:t xml:space="preserve">, </w:t>
      </w:r>
      <w:r w:rsidRPr="00055358">
        <w:t>final terms</w:t>
      </w:r>
      <w:r w:rsidR="0053198D">
        <w:t xml:space="preserve"> or</w:t>
      </w:r>
      <w:r w:rsidR="009E0771">
        <w:t xml:space="preserve"> in a </w:t>
      </w:r>
      <w:r w:rsidR="00B356CD">
        <w:t>prospectus</w:t>
      </w:r>
      <w:r w:rsidR="003C6573">
        <w:t xml:space="preserve"> for a stand-alone issuance</w:t>
      </w:r>
    </w:p>
    <w:p w14:paraId="7DC0594D" w14:textId="77777777" w:rsidR="009758D4" w:rsidRDefault="00D86DCC" w:rsidP="002E6DF3">
      <w:pPr>
        <w:pStyle w:val="Rubrik3"/>
      </w:pPr>
      <w:r>
        <w:t>Target market:</w:t>
      </w:r>
      <w:r w:rsidR="00E63924" w:rsidRPr="00E63924">
        <w:t xml:space="preserve"> </w:t>
      </w:r>
      <w:r w:rsidR="00E63924" w:rsidRPr="00FD58FC">
        <w:rPr>
          <w:i/>
        </w:rPr>
        <w:t>p</w:t>
      </w:r>
      <w:r w:rsidR="00F8432F" w:rsidRPr="00FD58FC">
        <w:rPr>
          <w:i/>
        </w:rPr>
        <w:t>rofessional client</w:t>
      </w:r>
      <w:r w:rsidR="00933FA0" w:rsidRPr="00FD58FC">
        <w:rPr>
          <w:i/>
        </w:rPr>
        <w:t>s and ECPs only</w:t>
      </w:r>
    </w:p>
    <w:p w14:paraId="572ED86E" w14:textId="77777777" w:rsidR="002C4806" w:rsidRDefault="00933FA0" w:rsidP="002E6DF3">
      <w:r w:rsidRPr="00FA39BB">
        <w:t>Solely for the purposes of</w:t>
      </w:r>
      <w:r w:rsidR="00720C20">
        <w:t xml:space="preserve"> the product governance requirements set forth in </w:t>
      </w:r>
      <w:r w:rsidR="00F77CB1">
        <w:t>[</w:t>
      </w:r>
      <w:r w:rsidR="00720C20" w:rsidRPr="00720C20">
        <w:t>Directive 2014/65/EU (as amended, “</w:t>
      </w:r>
      <w:r w:rsidR="00720C20" w:rsidRPr="00720C20">
        <w:rPr>
          <w:b/>
        </w:rPr>
        <w:t>MiFID II</w:t>
      </w:r>
      <w:r w:rsidR="00720C20" w:rsidRPr="00720C20">
        <w:t>”)/MiFID II]</w:t>
      </w:r>
      <w:r w:rsidR="00484C47">
        <w:t>, t</w:t>
      </w:r>
      <w:r w:rsidRPr="00FA39BB">
        <w:t>he target market assessment</w:t>
      </w:r>
      <w:r w:rsidR="00720C20">
        <w:t xml:space="preserve"> made by the</w:t>
      </w:r>
      <w:r w:rsidR="00720C20" w:rsidRPr="00720C20">
        <w:t xml:space="preserve"> manufacturer</w:t>
      </w:r>
      <w:r w:rsidR="00720C20">
        <w:t>[s]</w:t>
      </w:r>
      <w:r w:rsidRPr="00FA39BB">
        <w:t xml:space="preserve"> in respect of the [Notes] has led to the conclusion that: (i) the target market for the [Notes] is eligible counterparties and professional clients</w:t>
      </w:r>
      <w:r w:rsidR="00567035">
        <w:t xml:space="preserve"> </w:t>
      </w:r>
      <w:r w:rsidRPr="00FA39BB">
        <w:t>only, each as defined in</w:t>
      </w:r>
      <w:r>
        <w:t xml:space="preserve"> </w:t>
      </w:r>
      <w:r w:rsidR="004A01E2">
        <w:t>MiFID II</w:t>
      </w:r>
      <w:r w:rsidR="000D5652">
        <w:t>;</w:t>
      </w:r>
      <w:r w:rsidRPr="00FA39BB">
        <w:t xml:space="preserve"> (ii)</w:t>
      </w:r>
      <w:r w:rsidR="000D5652">
        <w:t xml:space="preserve"> [the negative target market</w:t>
      </w:r>
      <w:r w:rsidR="000D5652" w:rsidRPr="000D5652">
        <w:t xml:space="preserve"> for the [Notes] is clients that seek full capital protection or full repayment of the amount </w:t>
      </w:r>
      <w:r w:rsidR="000D5652" w:rsidRPr="000D5652">
        <w:lastRenderedPageBreak/>
        <w:t>invested, are fully risk averse/have no risk tolerance or need a fully guaranteed income or f</w:t>
      </w:r>
      <w:r w:rsidR="000D5652">
        <w:t>ully predictable return profile; and (iii)</w:t>
      </w:r>
      <w:r w:rsidR="00657FEC">
        <w:t>]</w:t>
      </w:r>
      <w:r w:rsidR="00657FEC" w:rsidRPr="00657FEC">
        <w:rPr>
          <w:rStyle w:val="Fotnotsreferens"/>
        </w:rPr>
        <w:t xml:space="preserve"> </w:t>
      </w:r>
      <w:r w:rsidR="00657FEC" w:rsidRPr="003B57AA">
        <w:rPr>
          <w:rStyle w:val="Fotnotsreferens"/>
        </w:rPr>
        <w:footnoteReference w:id="3"/>
      </w:r>
      <w:r w:rsidRPr="00FA39BB">
        <w:t xml:space="preserve"> all channels for distribution of the [Notes] to eligible counterparties and professional clients are appropriate.</w:t>
      </w:r>
      <w:r>
        <w:t xml:space="preserve"> </w:t>
      </w:r>
      <w:r w:rsidRPr="00FA39BB">
        <w:t xml:space="preserve">Any person subsequently offering, selling </w:t>
      </w:r>
      <w:r w:rsidR="006F0A4C">
        <w:t>or recommending the [Notes] (a “</w:t>
      </w:r>
      <w:r w:rsidR="006F0A4C" w:rsidRPr="004341B9">
        <w:rPr>
          <w:b/>
        </w:rPr>
        <w:t>distributor</w:t>
      </w:r>
      <w:r w:rsidR="006F0A4C">
        <w:t>”</w:t>
      </w:r>
      <w:r w:rsidRPr="00FA39BB">
        <w:t>) should take into consideration the manufacturer[</w:t>
      </w:r>
      <w:r w:rsidR="008E321C">
        <w:t>’s/s’] target market assessment. H</w:t>
      </w:r>
      <w:r w:rsidRPr="00FA39BB">
        <w:t>owever, a distributor subject to MiFID II</w:t>
      </w:r>
      <w:r>
        <w:t xml:space="preserve"> </w:t>
      </w:r>
      <w:r w:rsidRPr="00FA39BB">
        <w:t>is responsible for undertaking its own target market assessment in respect of the [Notes] (by either adopting or refining the manufacturer[’s/s’] target market assessment) and determining appropriate distribution channels.</w:t>
      </w:r>
    </w:p>
    <w:p w14:paraId="3B31DEBC" w14:textId="77777777" w:rsidR="00302D29" w:rsidRDefault="00657FEC" w:rsidP="002E6DF3">
      <w:pPr>
        <w:rPr>
          <w:b/>
        </w:rPr>
      </w:pPr>
      <w:r>
        <w:rPr>
          <w:b/>
        </w:rPr>
        <w:t>[</w:t>
      </w:r>
      <w:r w:rsidR="00933FA0" w:rsidRPr="00BC79BB">
        <w:rPr>
          <w:b/>
        </w:rPr>
        <w:t>OR</w:t>
      </w:r>
      <w:r>
        <w:rPr>
          <w:b/>
        </w:rPr>
        <w:t>]</w:t>
      </w:r>
    </w:p>
    <w:p w14:paraId="033AA5EC" w14:textId="77777777" w:rsidR="00302D29" w:rsidRDefault="00D86DCC" w:rsidP="006D6010">
      <w:pPr>
        <w:pStyle w:val="Rubrik3"/>
      </w:pPr>
      <w:r>
        <w:t>Target market:</w:t>
      </w:r>
      <w:r w:rsidR="009E0771">
        <w:t xml:space="preserve"> </w:t>
      </w:r>
      <w:r w:rsidR="00257BB5" w:rsidRPr="009E0771">
        <w:t>retail</w:t>
      </w:r>
      <w:r w:rsidR="00A97FF2">
        <w:t xml:space="preserve"> clients</w:t>
      </w:r>
      <w:r w:rsidR="006D6010" w:rsidRPr="006D6010">
        <w:t>,</w:t>
      </w:r>
      <w:r w:rsidR="00F8432F" w:rsidRPr="006D6010">
        <w:t xml:space="preserve"> </w:t>
      </w:r>
      <w:r w:rsidR="00F8432F" w:rsidRPr="009E0771">
        <w:t>professional client</w:t>
      </w:r>
      <w:r w:rsidR="00933FA0" w:rsidRPr="009E0771">
        <w:t xml:space="preserve">s and ECPs </w:t>
      </w:r>
    </w:p>
    <w:p w14:paraId="7BFBF71E" w14:textId="77777777" w:rsidR="00DA51B8" w:rsidRDefault="001D4189" w:rsidP="002E6DF3">
      <w:r w:rsidRPr="00FA39BB">
        <w:t>Solely for the purposes of</w:t>
      </w:r>
      <w:r>
        <w:t xml:space="preserve"> the product governance requirements set forth in </w:t>
      </w:r>
      <w:r w:rsidR="001231C0">
        <w:t>[</w:t>
      </w:r>
      <w:r w:rsidRPr="00720C20">
        <w:t>Directive 2014/65/EU (as amended, “</w:t>
      </w:r>
      <w:r w:rsidRPr="00720C20">
        <w:rPr>
          <w:b/>
        </w:rPr>
        <w:t>MiFID II</w:t>
      </w:r>
      <w:r w:rsidRPr="00720C20">
        <w:t>”)/MiFID II]</w:t>
      </w:r>
      <w:r>
        <w:t>,</w:t>
      </w:r>
      <w:r w:rsidR="00933FA0" w:rsidRPr="00BC79BB">
        <w:t xml:space="preserve"> </w:t>
      </w:r>
      <w:r w:rsidR="00484C47">
        <w:t>t</w:t>
      </w:r>
      <w:r w:rsidR="00933FA0" w:rsidRPr="00BC79BB">
        <w:t>he</w:t>
      </w:r>
      <w:r w:rsidR="00395705">
        <w:t xml:space="preserve"> manufacturer[s] [has/have] made a</w:t>
      </w:r>
      <w:r w:rsidR="00933FA0" w:rsidRPr="00BC79BB">
        <w:t xml:space="preserve"> target market assessment in respect of the [Notes]</w:t>
      </w:r>
      <w:r w:rsidR="00425C6E">
        <w:t xml:space="preserve">, and </w:t>
      </w:r>
      <w:r w:rsidR="00C31020">
        <w:t>[</w:t>
      </w:r>
      <w:r w:rsidR="00425C6E">
        <w:t>has</w:t>
      </w:r>
      <w:r w:rsidR="00C31020">
        <w:t>/have]</w:t>
      </w:r>
      <w:r w:rsidR="00425C6E">
        <w:t xml:space="preserve"> concluded that the target group for the [Notes] is</w:t>
      </w:r>
      <w:r w:rsidR="00E949F4">
        <w:t>:</w:t>
      </w:r>
      <w:r w:rsidR="00EF1E00">
        <w:rPr>
          <w:rStyle w:val="Fotnotsreferens"/>
        </w:rPr>
        <w:footnoteReference w:id="4"/>
      </w:r>
      <w:r w:rsidR="0013571C" w:rsidRPr="0013571C">
        <w:rPr>
          <w:vertAlign w:val="superscript"/>
        </w:rPr>
        <w:t>,</w:t>
      </w:r>
      <w:r w:rsidR="003445FD">
        <w:rPr>
          <w:rStyle w:val="Fotnotsreferens"/>
        </w:rPr>
        <w:footnoteReference w:id="5"/>
      </w:r>
    </w:p>
    <w:p w14:paraId="0C44366F" w14:textId="77777777" w:rsidR="00257BB5" w:rsidRDefault="00395705" w:rsidP="006D6010">
      <w:pPr>
        <w:pStyle w:val="Listlevel1aAlt5"/>
      </w:pPr>
      <w:r w:rsidRPr="00DA51B8">
        <w:rPr>
          <w:i/>
        </w:rPr>
        <w:t>Type of client</w:t>
      </w:r>
      <w:r w:rsidR="00072483">
        <w:rPr>
          <w:rStyle w:val="Fotnotsreferens"/>
          <w:i/>
        </w:rPr>
        <w:footnoteReference w:id="6"/>
      </w:r>
      <w:r>
        <w:t>:</w:t>
      </w:r>
      <w:r w:rsidR="00933FA0" w:rsidRPr="00BC79BB">
        <w:t xml:space="preserve"> </w:t>
      </w:r>
      <w:r w:rsidR="00884AF8">
        <w:t>C</w:t>
      </w:r>
      <w:r w:rsidR="00313D16">
        <w:t>lient</w:t>
      </w:r>
      <w:r w:rsidR="00425C6E">
        <w:t>s that are</w:t>
      </w:r>
      <w:r w:rsidR="00933FA0" w:rsidRPr="00BC79BB">
        <w:t xml:space="preserve"> eligible counterparties,</w:t>
      </w:r>
      <w:r w:rsidR="006D6010">
        <w:t xml:space="preserve"> </w:t>
      </w:r>
      <w:r w:rsidR="00933FA0" w:rsidRPr="00BC79BB">
        <w:t>professional clients</w:t>
      </w:r>
      <w:r w:rsidR="006D6010">
        <w:t xml:space="preserve"> </w:t>
      </w:r>
      <w:r w:rsidR="00933FA0" w:rsidRPr="00BC79BB">
        <w:t xml:space="preserve">and </w:t>
      </w:r>
      <w:r w:rsidR="00E949F4">
        <w:t>retail</w:t>
      </w:r>
      <w:r w:rsidR="00257BB5" w:rsidRPr="00257BB5">
        <w:t xml:space="preserve"> </w:t>
      </w:r>
      <w:r w:rsidR="00933FA0" w:rsidRPr="00BC79BB">
        <w:t>clients, each as defined in</w:t>
      </w:r>
      <w:r w:rsidR="00933FA0" w:rsidRPr="00933FA0">
        <w:t xml:space="preserve"> </w:t>
      </w:r>
      <w:r w:rsidR="001D4189">
        <w:t>MiFID II</w:t>
      </w:r>
      <w:r w:rsidR="004B7990">
        <w:t>.</w:t>
      </w:r>
    </w:p>
    <w:p w14:paraId="2FE90689" w14:textId="77777777" w:rsidR="00395705" w:rsidRPr="00DA51B8" w:rsidRDefault="00395705" w:rsidP="002E6DF3">
      <w:pPr>
        <w:pStyle w:val="Listlevel1aAlt5"/>
        <w:rPr>
          <w:i/>
        </w:rPr>
      </w:pPr>
      <w:r w:rsidRPr="00395705">
        <w:rPr>
          <w:i/>
        </w:rPr>
        <w:t>Knowledge and experience</w:t>
      </w:r>
      <w:r w:rsidR="00072483">
        <w:rPr>
          <w:rStyle w:val="Fotnotsreferens"/>
          <w:i/>
        </w:rPr>
        <w:footnoteReference w:id="7"/>
      </w:r>
      <w:r w:rsidRPr="00395705">
        <w:rPr>
          <w:i/>
        </w:rPr>
        <w:t>:</w:t>
      </w:r>
      <w:r w:rsidR="00047762">
        <w:t xml:space="preserve"> </w:t>
      </w:r>
      <w:r w:rsidR="00313D16">
        <w:t>[</w:t>
      </w:r>
      <w:r w:rsidR="00736A11">
        <w:t>C</w:t>
      </w:r>
      <w:r w:rsidR="00313D16">
        <w:t>lient</w:t>
      </w:r>
      <w:r w:rsidR="00275528">
        <w:t>s</w:t>
      </w:r>
      <w:r w:rsidR="00736A11">
        <w:t xml:space="preserve"> that</w:t>
      </w:r>
      <w:r w:rsidR="00876229">
        <w:t xml:space="preserve"> are basic investors </w:t>
      </w:r>
      <w:r w:rsidR="004A01E2">
        <w:t>[</w:t>
      </w:r>
      <w:r w:rsidR="00876229">
        <w:t>(</w:t>
      </w:r>
      <w:r w:rsidR="00876229" w:rsidRPr="00876229">
        <w:rPr>
          <w:i/>
        </w:rPr>
        <w:t>i.e.</w:t>
      </w:r>
      <w:r w:rsidR="00736A11">
        <w:t xml:space="preserve"> </w:t>
      </w:r>
      <w:r w:rsidR="00876229">
        <w:t>clients holding</w:t>
      </w:r>
      <w:r w:rsidR="008D672F">
        <w:t xml:space="preserve"> basic</w:t>
      </w:r>
      <w:r w:rsidR="00047762">
        <w:t xml:space="preserve"> knowledge</w:t>
      </w:r>
      <w:r w:rsidR="00876229">
        <w:t xml:space="preserve"> of</w:t>
      </w:r>
      <w:r w:rsidR="00047762">
        <w:t xml:space="preserve"> </w:t>
      </w:r>
      <w:r w:rsidR="00876229" w:rsidRPr="00313D16">
        <w:t>bonds and the credit market</w:t>
      </w:r>
      <w:r w:rsidR="00876229">
        <w:t xml:space="preserve"> </w:t>
      </w:r>
      <w:r w:rsidR="00047762">
        <w:t>and</w:t>
      </w:r>
      <w:r w:rsidR="00876229">
        <w:t xml:space="preserve"> </w:t>
      </w:r>
      <w:r w:rsidR="00D71A58">
        <w:t>[</w:t>
      </w:r>
      <w:r w:rsidR="00876229">
        <w:t>no</w:t>
      </w:r>
      <w:r w:rsidR="00D71A58">
        <w:t>]</w:t>
      </w:r>
      <w:r w:rsidR="00047762">
        <w:t xml:space="preserve"> experience</w:t>
      </w:r>
      <w:r w:rsidR="00313D16">
        <w:t xml:space="preserve"> </w:t>
      </w:r>
      <w:r w:rsidR="00802B0B">
        <w:t>of</w:t>
      </w:r>
      <w:r w:rsidR="00876229">
        <w:t xml:space="preserve"> financial markets</w:t>
      </w:r>
      <w:r w:rsidR="004A01E2">
        <w:t>)]</w:t>
      </w:r>
      <w:r w:rsidR="00275528">
        <w:t>.</w:t>
      </w:r>
      <w:r w:rsidR="004341B9">
        <w:t>]</w:t>
      </w:r>
    </w:p>
    <w:p w14:paraId="19AC70D1" w14:textId="77777777" w:rsidR="0054234D" w:rsidRPr="00DA51B8" w:rsidRDefault="0054234D" w:rsidP="002E6DF3">
      <w:pPr>
        <w:pStyle w:val="Listlevel1aAlt5"/>
        <w:rPr>
          <w:i/>
        </w:rPr>
      </w:pPr>
      <w:r w:rsidRPr="0054234D">
        <w:rPr>
          <w:i/>
        </w:rPr>
        <w:lastRenderedPageBreak/>
        <w:t xml:space="preserve">Financial situation </w:t>
      </w:r>
      <w:r>
        <w:rPr>
          <w:i/>
        </w:rPr>
        <w:t>and</w:t>
      </w:r>
      <w:r w:rsidRPr="0054234D">
        <w:rPr>
          <w:i/>
        </w:rPr>
        <w:t xml:space="preserve"> the ability to bear losses</w:t>
      </w:r>
      <w:r w:rsidR="00072483">
        <w:rPr>
          <w:rStyle w:val="Fotnotsreferens"/>
          <w:i/>
        </w:rPr>
        <w:footnoteReference w:id="8"/>
      </w:r>
      <w:r w:rsidRPr="0054234D">
        <w:rPr>
          <w:i/>
        </w:rPr>
        <w:t>:</w:t>
      </w:r>
      <w:r>
        <w:t xml:space="preserve"> </w:t>
      </w:r>
      <w:r w:rsidR="006F3F7B">
        <w:t>[</w:t>
      </w:r>
      <w:r w:rsidR="00884AF8">
        <w:t>C</w:t>
      </w:r>
      <w:r w:rsidR="00313D16">
        <w:t>lient</w:t>
      </w:r>
      <w:r>
        <w:t xml:space="preserve">s </w:t>
      </w:r>
      <w:r w:rsidR="003B2421">
        <w:t>that have</w:t>
      </w:r>
      <w:r w:rsidR="00CA2394">
        <w:t xml:space="preserve"> the ability to</w:t>
      </w:r>
      <w:r w:rsidR="003B2421">
        <w:t xml:space="preserve"> bear</w:t>
      </w:r>
      <w:r w:rsidR="00CA2394">
        <w:t xml:space="preserve"> los</w:t>
      </w:r>
      <w:r w:rsidR="003B2421">
        <w:t>s</w:t>
      </w:r>
      <w:r w:rsidR="00CA2394">
        <w:t>e</w:t>
      </w:r>
      <w:r w:rsidR="003B2421">
        <w:t>s of up to</w:t>
      </w:r>
      <w:r w:rsidR="00CA2394">
        <w:t xml:space="preserve"> [</w:t>
      </w:r>
      <w:proofErr w:type="gramStart"/>
      <w:r w:rsidR="005B709F">
        <w:t>•</w:t>
      </w:r>
      <w:r w:rsidR="00CA2394">
        <w:t>]</w:t>
      </w:r>
      <w:r w:rsidR="003B2421">
        <w:t>%</w:t>
      </w:r>
      <w:proofErr w:type="gramEnd"/>
      <w:r w:rsidR="00CA2394">
        <w:t xml:space="preserve"> of the</w:t>
      </w:r>
      <w:r w:rsidR="003B2421">
        <w:t xml:space="preserve"> capital invested in the [Notes]</w:t>
      </w:r>
      <w:r w:rsidR="00884AF8">
        <w:t>.</w:t>
      </w:r>
      <w:r w:rsidR="003B2421">
        <w:t xml:space="preserve"> </w:t>
      </w:r>
      <w:r w:rsidR="00425C6E">
        <w:t xml:space="preserve">/ </w:t>
      </w:r>
      <w:r w:rsidR="00884AF8">
        <w:t>C</w:t>
      </w:r>
      <w:r w:rsidR="00313D16">
        <w:t>lient</w:t>
      </w:r>
      <w:r w:rsidR="006F3F7B">
        <w:t>s that do not</w:t>
      </w:r>
      <w:r w:rsidR="003B2421">
        <w:t xml:space="preserve"> </w:t>
      </w:r>
      <w:r w:rsidR="005B709F">
        <w:t>allocate more than [</w:t>
      </w:r>
      <w:proofErr w:type="gramStart"/>
      <w:r w:rsidR="005B709F">
        <w:t>•</w:t>
      </w:r>
      <w:r w:rsidR="00FD58FC">
        <w:t>]%</w:t>
      </w:r>
      <w:proofErr w:type="gramEnd"/>
      <w:r w:rsidR="00FD58FC">
        <w:t xml:space="preserve"> of their</w:t>
      </w:r>
      <w:r w:rsidR="006F3F7B">
        <w:t xml:space="preserve"> total assets in instruments issued by the same issuer.]</w:t>
      </w:r>
    </w:p>
    <w:p w14:paraId="0770BA80" w14:textId="77777777" w:rsidR="00425C6E" w:rsidRPr="00DA51B8" w:rsidRDefault="006F3F7B" w:rsidP="00F500FA">
      <w:pPr>
        <w:pStyle w:val="Listlevel1aAlt5"/>
        <w:rPr>
          <w:i/>
        </w:rPr>
      </w:pPr>
      <w:r w:rsidRPr="00B96300">
        <w:rPr>
          <w:i/>
        </w:rPr>
        <w:t>Risk tolerance</w:t>
      </w:r>
      <w:r w:rsidR="00072483">
        <w:rPr>
          <w:rStyle w:val="Fotnotsreferens"/>
          <w:i/>
        </w:rPr>
        <w:footnoteReference w:id="9"/>
      </w:r>
      <w:r w:rsidRPr="00B96300">
        <w:rPr>
          <w:i/>
        </w:rPr>
        <w:t>:</w:t>
      </w:r>
      <w:r>
        <w:t xml:space="preserve"> </w:t>
      </w:r>
      <w:r w:rsidR="00FD58FC">
        <w:t>[</w:t>
      </w:r>
      <w:r w:rsidR="00884AF8">
        <w:t>C</w:t>
      </w:r>
      <w:r w:rsidR="00313D16">
        <w:t>lient</w:t>
      </w:r>
      <w:r w:rsidR="005B709F">
        <w:t>s with a [</w:t>
      </w:r>
      <w:r w:rsidR="00354F7F">
        <w:t xml:space="preserve">low / </w:t>
      </w:r>
      <w:r w:rsidR="001275EB">
        <w:t xml:space="preserve">balanced </w:t>
      </w:r>
      <w:r w:rsidR="00F500FA">
        <w:t>/</w:t>
      </w:r>
      <w:r w:rsidR="0038386F">
        <w:t xml:space="preserve"> </w:t>
      </w:r>
      <w:r w:rsidR="005B709F">
        <w:t>speculative</w:t>
      </w:r>
      <w:r w:rsidR="001275EB">
        <w:t>]</w:t>
      </w:r>
      <w:r w:rsidR="00F500FA">
        <w:t xml:space="preserve"> risk tolerance</w:t>
      </w:r>
      <w:r w:rsidR="008A367D">
        <w:t>.</w:t>
      </w:r>
      <w:r w:rsidR="008C7D30" w:rsidRPr="008C7D30">
        <w:t xml:space="preserve"> </w:t>
      </w:r>
      <w:r w:rsidR="008C7D30">
        <w:t>Clients investing in the [Notes] are typically willing to take more risk than deposit savings but do not want to invest in the equity market.]</w:t>
      </w:r>
      <w:r w:rsidR="008C7D30">
        <w:rPr>
          <w:rStyle w:val="Fotnotsreferens"/>
        </w:rPr>
        <w:footnoteReference w:id="10"/>
      </w:r>
    </w:p>
    <w:p w14:paraId="0AAF794D" w14:textId="77777777" w:rsidR="00812A8B" w:rsidRPr="00484C47" w:rsidRDefault="00B96300" w:rsidP="0038386F">
      <w:pPr>
        <w:pStyle w:val="Listlevel1aAlt5"/>
        <w:rPr>
          <w:i/>
        </w:rPr>
      </w:pPr>
      <w:r w:rsidRPr="00B96300">
        <w:rPr>
          <w:i/>
        </w:rPr>
        <w:t>Investment objective</w:t>
      </w:r>
      <w:r w:rsidR="00072483">
        <w:rPr>
          <w:rStyle w:val="Fotnotsreferens"/>
          <w:i/>
        </w:rPr>
        <w:footnoteReference w:id="11"/>
      </w:r>
      <w:r w:rsidRPr="00B96300">
        <w:rPr>
          <w:i/>
        </w:rPr>
        <w:t>:</w:t>
      </w:r>
      <w:r>
        <w:t xml:space="preserve"> </w:t>
      </w:r>
      <w:r w:rsidR="00D334CC">
        <w:t>[</w:t>
      </w:r>
      <w:r w:rsidR="0038386F" w:rsidRPr="0038386F">
        <w:t xml:space="preserve">Clients </w:t>
      </w:r>
      <w:r w:rsidR="00907DD4">
        <w:t>whose</w:t>
      </w:r>
      <w:r w:rsidR="0038386F">
        <w:t xml:space="preserve"> investment objective</w:t>
      </w:r>
      <w:r w:rsidR="00907DD4">
        <w:t xml:space="preserve"> is to [preserve / generate income from / generate growth of] the invested capital and have a [very short / short / medium / long] term investment horison.]</w:t>
      </w:r>
      <w:r w:rsidR="00134B7F">
        <w:rPr>
          <w:rStyle w:val="Fotnotsreferens"/>
        </w:rPr>
        <w:footnoteReference w:id="12"/>
      </w:r>
    </w:p>
    <w:p w14:paraId="08CD2650" w14:textId="77777777" w:rsidR="00D86DCC" w:rsidRPr="00484C47" w:rsidRDefault="00EA0BB0" w:rsidP="002E6DF3">
      <w:pPr>
        <w:pStyle w:val="Listlevel1aAlt5"/>
        <w:rPr>
          <w:i/>
        </w:rPr>
      </w:pPr>
      <w:r>
        <w:t>[</w:t>
      </w:r>
      <w:r w:rsidR="00F830D1">
        <w:t xml:space="preserve">Furthermore, </w:t>
      </w:r>
      <w:r w:rsidR="00F830D1" w:rsidRPr="00F830D1">
        <w:t>the manufacturer[s] [has/have]</w:t>
      </w:r>
      <w:r w:rsidR="001B6606">
        <w:t xml:space="preserve"> </w:t>
      </w:r>
      <w:r w:rsidR="001B6606" w:rsidRPr="001B6606">
        <w:t>made an assessment as to the</w:t>
      </w:r>
      <w:r w:rsidR="00F830D1" w:rsidRPr="001B6606">
        <w:t xml:space="preserve"> </w:t>
      </w:r>
      <w:r w:rsidR="001B6606">
        <w:t xml:space="preserve">negative target market and </w:t>
      </w:r>
      <w:r w:rsidR="00F830D1" w:rsidRPr="00F830D1">
        <w:t>concluded that the</w:t>
      </w:r>
      <w:r w:rsidR="001B6606">
        <w:t xml:space="preserve"> negative</w:t>
      </w:r>
      <w:r w:rsidR="00F830D1" w:rsidRPr="00F830D1">
        <w:t xml:space="preserve"> target</w:t>
      </w:r>
      <w:r w:rsidR="001B6606">
        <w:t xml:space="preserve"> market</w:t>
      </w:r>
      <w:r w:rsidR="00F830D1" w:rsidRPr="00F830D1">
        <w:t xml:space="preserve"> for the [Notes] is</w:t>
      </w:r>
      <w:r w:rsidR="001B6606">
        <w:t xml:space="preserve"> clients that seek </w:t>
      </w:r>
      <w:r w:rsidR="001B6606" w:rsidRPr="001B6606">
        <w:t>full capital protection or full repayment of the amount invested</w:t>
      </w:r>
      <w:r w:rsidR="001B6606">
        <w:t xml:space="preserve">, </w:t>
      </w:r>
      <w:r w:rsidR="001B6606" w:rsidRPr="001B6606">
        <w:t>are fully risk averse/have no risk tolerance</w:t>
      </w:r>
      <w:r w:rsidR="008346C5">
        <w:t xml:space="preserve"> or </w:t>
      </w:r>
      <w:r w:rsidR="008346C5" w:rsidRPr="008346C5">
        <w:t>need a fully guaranteed income or fully predictable return profile</w:t>
      </w:r>
      <w:r w:rsidR="008346C5">
        <w:t>.</w:t>
      </w:r>
      <w:r>
        <w:t>]</w:t>
      </w:r>
      <w:r w:rsidR="003818D3">
        <w:rPr>
          <w:rStyle w:val="Fotnotsreferens"/>
        </w:rPr>
        <w:footnoteReference w:id="13"/>
      </w:r>
      <w:r w:rsidR="00F506D5" w:rsidRPr="00F506D5">
        <w:t xml:space="preserve"> </w:t>
      </w:r>
    </w:p>
    <w:p w14:paraId="41438C66" w14:textId="77777777" w:rsidR="009758D4" w:rsidRDefault="00D334CC" w:rsidP="002E6DF3">
      <w:r>
        <w:t>T</w:t>
      </w:r>
      <w:r w:rsidRPr="00D334CC">
        <w:t>he manufacturer[s] [has/have] made a</w:t>
      </w:r>
      <w:r>
        <w:t>n assessment as</w:t>
      </w:r>
      <w:r w:rsidR="00884AF8">
        <w:t xml:space="preserve"> to the distribution strategy for</w:t>
      </w:r>
      <w:r>
        <w:t xml:space="preserve"> the [Notes]</w:t>
      </w:r>
      <w:r w:rsidRPr="00D334CC">
        <w:t xml:space="preserve">, and </w:t>
      </w:r>
      <w:r w:rsidR="001231C0">
        <w:t>[</w:t>
      </w:r>
      <w:r w:rsidRPr="00D334CC">
        <w:t>has</w:t>
      </w:r>
      <w:r w:rsidR="001231C0">
        <w:t>/have]</w:t>
      </w:r>
      <w:r w:rsidRPr="00D334CC">
        <w:t xml:space="preserve"> concluded</w:t>
      </w:r>
      <w:r w:rsidR="00072483">
        <w:t xml:space="preserve"> that [</w:t>
      </w:r>
      <w:r w:rsidR="00933FA0" w:rsidRPr="005E2B39">
        <w:rPr>
          <w:b/>
          <w:i/>
          <w:lang w:eastAsia="en-GB"/>
        </w:rPr>
        <w:t>EITHER</w:t>
      </w:r>
      <w:r w:rsidR="00072483">
        <w:rPr>
          <w:lang w:eastAsia="en-GB"/>
        </w:rPr>
        <w:t>]</w:t>
      </w:r>
      <w:r w:rsidR="00933FA0" w:rsidRPr="005E2B39">
        <w:rPr>
          <w:vertAlign w:val="superscript"/>
          <w:lang w:eastAsia="en-GB"/>
        </w:rPr>
        <w:footnoteReference w:id="14"/>
      </w:r>
      <w:r w:rsidR="00933FA0" w:rsidRPr="005E2B39">
        <w:rPr>
          <w:lang w:eastAsia="en-GB"/>
        </w:rPr>
        <w:t xml:space="preserve"> all channels for distribution of the [Notes] are appropriate[, including investment advice, portfolio management, non-advised sales and pure execution services]</w:t>
      </w:r>
      <w:r w:rsidR="00933FA0" w:rsidRPr="005E2B39">
        <w:rPr>
          <w:vertAlign w:val="superscript"/>
          <w:lang w:eastAsia="en-GB"/>
        </w:rPr>
        <w:footnoteReference w:id="15"/>
      </w:r>
      <w:r w:rsidR="00933FA0" w:rsidRPr="005E2B39">
        <w:rPr>
          <w:lang w:eastAsia="en-GB"/>
        </w:rPr>
        <w:t xml:space="preserve"> </w:t>
      </w:r>
      <w:r w:rsidR="00072483">
        <w:rPr>
          <w:lang w:eastAsia="en-GB"/>
        </w:rPr>
        <w:t>[</w:t>
      </w:r>
      <w:r w:rsidR="00933FA0" w:rsidRPr="005E2B39">
        <w:rPr>
          <w:b/>
          <w:i/>
          <w:lang w:eastAsia="en-GB"/>
        </w:rPr>
        <w:t>O</w:t>
      </w:r>
      <w:r w:rsidR="00657FEC">
        <w:rPr>
          <w:b/>
          <w:i/>
          <w:lang w:eastAsia="en-GB"/>
        </w:rPr>
        <w:t>R</w:t>
      </w:r>
      <w:r w:rsidR="00072483" w:rsidRPr="00072483">
        <w:rPr>
          <w:lang w:eastAsia="en-GB"/>
        </w:rPr>
        <w:t>]</w:t>
      </w:r>
      <w:r w:rsidR="00933FA0" w:rsidRPr="005E2B39">
        <w:rPr>
          <w:vertAlign w:val="superscript"/>
          <w:lang w:eastAsia="en-GB"/>
        </w:rPr>
        <w:footnoteReference w:id="16"/>
      </w:r>
      <w:r w:rsidR="00933FA0" w:rsidRPr="005E2B39">
        <w:rPr>
          <w:lang w:eastAsia="en-GB"/>
        </w:rPr>
        <w:t xml:space="preserve"> all channels for distribution to eligible counterparties and professional clients are</w:t>
      </w:r>
      <w:r w:rsidR="00B62476">
        <w:rPr>
          <w:lang w:eastAsia="en-GB"/>
        </w:rPr>
        <w:t xml:space="preserve"> appropriate; and (iii)</w:t>
      </w:r>
      <w:r w:rsidR="00933FA0" w:rsidRPr="00BC79BB">
        <w:t xml:space="preserve"> the following channels for distribution of the [Notes] to retail clients are appropriate</w:t>
      </w:r>
      <w:r w:rsidR="00933FA0" w:rsidRPr="00BC79BB" w:rsidDel="00BC79BB">
        <w:t xml:space="preserve"> </w:t>
      </w:r>
      <w:r w:rsidR="00884AF8">
        <w:t>–</w:t>
      </w:r>
      <w:r w:rsidR="00933FA0" w:rsidRPr="00BC79BB">
        <w:t xml:space="preserve"> investment advice[,/ and] portfolio management[,/ and][ non-advised sales ][and pure execution services][, subject to the distributor’s suitability and appropriateness obligations under</w:t>
      </w:r>
      <w:r w:rsidR="0091665C">
        <w:t xml:space="preserve"> </w:t>
      </w:r>
      <w:r w:rsidR="00884AF8">
        <w:t>MiFID II, as applicable]</w:t>
      </w:r>
      <w:r w:rsidR="00933FA0" w:rsidRPr="00BC79BB">
        <w:t xml:space="preserve">. Any person subsequently offering, selling </w:t>
      </w:r>
      <w:r w:rsidR="00072483">
        <w:t>or recommending the [Notes] (a “</w:t>
      </w:r>
      <w:r w:rsidR="00072483" w:rsidRPr="00EE56DC">
        <w:rPr>
          <w:b/>
        </w:rPr>
        <w:t>distributor</w:t>
      </w:r>
      <w:r w:rsidR="00072483">
        <w:t>”</w:t>
      </w:r>
      <w:r w:rsidR="00933FA0" w:rsidRPr="00BC79BB">
        <w:t>) should take into consideration the manufacturer[</w:t>
      </w:r>
      <w:r w:rsidR="00884AF8">
        <w:t>’s/s’] target market assessment. H</w:t>
      </w:r>
      <w:r w:rsidR="00933FA0" w:rsidRPr="00BC79BB">
        <w:t>owever, a distributor subject to</w:t>
      </w:r>
      <w:r w:rsidR="0091665C">
        <w:t xml:space="preserve"> </w:t>
      </w:r>
      <w:r w:rsidR="00933FA0" w:rsidRPr="00BC79BB">
        <w:t>MiFID II</w:t>
      </w:r>
      <w:r w:rsidR="00EE56DC">
        <w:t xml:space="preserve"> i</w:t>
      </w:r>
      <w:r w:rsidR="00933FA0" w:rsidRPr="00BC79BB">
        <w:t xml:space="preserve">s responsible for undertaking its own target market assessment in respect of the [Notes] (by either adopting or refining the manufacturer[‘s/s’] target market assessment) and determining appropriate distribution channels[, subject to the distributor’s suitability and appropriateness obligations under </w:t>
      </w:r>
      <w:r w:rsidR="0091665C" w:rsidRPr="0091665C">
        <w:t>MiFID II</w:t>
      </w:r>
      <w:r w:rsidR="00933FA0" w:rsidRPr="00BC79BB">
        <w:t>, as applicable</w:t>
      </w:r>
      <w:r w:rsidR="00D246E4">
        <w:t>.</w:t>
      </w:r>
      <w:r w:rsidR="00933FA0" w:rsidRPr="00BC79BB">
        <w:rPr>
          <w:rStyle w:val="Fotnotsreferens"/>
        </w:rPr>
        <w:footnoteReference w:id="17"/>
      </w:r>
      <w:r w:rsidR="00FD58FC">
        <w:t>]</w:t>
      </w:r>
    </w:p>
    <w:p w14:paraId="576E0DE1" w14:textId="77777777" w:rsidR="00D74CEA" w:rsidRDefault="00D74CEA" w:rsidP="002E6DF3">
      <w:pPr>
        <w:pStyle w:val="Rubrik2"/>
      </w:pPr>
      <w:r>
        <w:t>Language to be included</w:t>
      </w:r>
      <w:r w:rsidR="009E25AC">
        <w:t xml:space="preserve"> </w:t>
      </w:r>
      <w:r w:rsidR="009E25AC" w:rsidRPr="009E25AC">
        <w:rPr>
          <w:i/>
        </w:rPr>
        <w:t>e.g.</w:t>
      </w:r>
      <w:r>
        <w:t xml:space="preserve"> in </w:t>
      </w:r>
      <w:r w:rsidR="009C18C9">
        <w:t xml:space="preserve">a </w:t>
      </w:r>
      <w:r>
        <w:t>dealer agreement</w:t>
      </w:r>
      <w:r w:rsidR="00FD58FC">
        <w:t xml:space="preserve"> (</w:t>
      </w:r>
      <w:r w:rsidR="009C18C9" w:rsidRPr="00FD58FC">
        <w:rPr>
          <w:i/>
        </w:rPr>
        <w:t>emissionsavtal</w:t>
      </w:r>
      <w:r w:rsidR="009C18C9">
        <w:t>) for an MTN programme or a mandate letter for a stand-alone</w:t>
      </w:r>
      <w:r w:rsidR="003C6573">
        <w:t xml:space="preserve"> issuance</w:t>
      </w:r>
    </w:p>
    <w:p w14:paraId="34174F00" w14:textId="77777777" w:rsidR="00D74CEA" w:rsidRDefault="00775946" w:rsidP="00657988">
      <w:pPr>
        <w:rPr>
          <w:vertAlign w:val="superscript"/>
        </w:rPr>
      </w:pPr>
      <w:r w:rsidRPr="00775946">
        <w:t>For the purpose of the MiFID Product Governance rules under EU Delegated Directive 2017/593 (the “</w:t>
      </w:r>
      <w:r w:rsidRPr="00775946">
        <w:rPr>
          <w:b/>
        </w:rPr>
        <w:t>MiFID Product Governance Rules</w:t>
      </w:r>
      <w:r w:rsidRPr="00775946">
        <w:t xml:space="preserve">”), a determination will be made in relation to each issue about whether </w:t>
      </w:r>
      <w:r w:rsidR="00A25466">
        <w:t xml:space="preserve">the Arranger or </w:t>
      </w:r>
      <w:r w:rsidRPr="00775946">
        <w:t>any</w:t>
      </w:r>
      <w:r w:rsidR="00D525FB">
        <w:t xml:space="preserve"> </w:t>
      </w:r>
      <w:r w:rsidRPr="00775946">
        <w:t>Dealer participating in the issue of the [Notes] is a manufacturer in respect of such [Notes]</w:t>
      </w:r>
      <w:r>
        <w:t>.</w:t>
      </w:r>
      <w:r w:rsidR="00CE346C" w:rsidRPr="00CE346C">
        <w:rPr>
          <w:rStyle w:val="Fotnotsreferens"/>
        </w:rPr>
        <w:t xml:space="preserve"> </w:t>
      </w:r>
      <w:r w:rsidR="00CE346C">
        <w:rPr>
          <w:rStyle w:val="Fotnotsreferens"/>
        </w:rPr>
        <w:footnoteReference w:id="18"/>
      </w:r>
      <w:r w:rsidR="00CE346C" w:rsidRPr="00775946">
        <w:rPr>
          <w:vertAlign w:val="superscript"/>
        </w:rPr>
        <w:t>,</w:t>
      </w:r>
      <w:r w:rsidR="00D74CEA">
        <w:t xml:space="preserve"> </w:t>
      </w:r>
      <w:r w:rsidR="00497D80">
        <w:t>N</w:t>
      </w:r>
      <w:r w:rsidRPr="00775946">
        <w:t xml:space="preserve">either the Arranger nor the Dealers nor any of their respective affiliates </w:t>
      </w:r>
      <w:r w:rsidR="00497D80">
        <w:t xml:space="preserve">that do not participate in an issue </w:t>
      </w:r>
      <w:r w:rsidRPr="00775946">
        <w:t>will be a manufacturer for the purpose of the MIFID Product Governance Rules</w:t>
      </w:r>
      <w:r w:rsidR="00D74CEA">
        <w:t>.</w:t>
      </w:r>
      <w:r w:rsidR="00F33E6C">
        <w:rPr>
          <w:rStyle w:val="Fotnotsreferens"/>
        </w:rPr>
        <w:footnoteReference w:id="19"/>
      </w:r>
    </w:p>
    <w:p w14:paraId="7D3E79CE" w14:textId="77777777" w:rsidR="00D74CEA" w:rsidRDefault="00D74CEA" w:rsidP="002E6DF3">
      <w:pPr>
        <w:pStyle w:val="Rubrik2"/>
      </w:pPr>
      <w:r>
        <w:t>Language to be include</w:t>
      </w:r>
      <w:r w:rsidR="00B62476">
        <w:t>d</w:t>
      </w:r>
      <w:r w:rsidR="009E25AC">
        <w:t xml:space="preserve"> </w:t>
      </w:r>
      <w:r w:rsidR="009E25AC" w:rsidRPr="009E25AC">
        <w:rPr>
          <w:i/>
        </w:rPr>
        <w:t>e.g.</w:t>
      </w:r>
      <w:r w:rsidR="00B62476">
        <w:t xml:space="preserve"> in</w:t>
      </w:r>
      <w:r>
        <w:t xml:space="preserve"> </w:t>
      </w:r>
      <w:r w:rsidR="009C18C9">
        <w:t>a</w:t>
      </w:r>
      <w:r w:rsidR="00043C35">
        <w:t xml:space="preserve"> separate agreement between managers, a</w:t>
      </w:r>
      <w:r>
        <w:t xml:space="preserve"> </w:t>
      </w:r>
      <w:r w:rsidR="003C6573">
        <w:t xml:space="preserve">mandate letter for </w:t>
      </w:r>
      <w:r w:rsidR="001F1121">
        <w:t>an</w:t>
      </w:r>
      <w:r w:rsidR="003C6573">
        <w:t xml:space="preserve"> issuance under an MTN programme or a dealer agreement for a stand-alone issuance</w:t>
      </w:r>
    </w:p>
    <w:p w14:paraId="60D3C6A0" w14:textId="77777777" w:rsidR="00D74CEA" w:rsidRDefault="00D74CEA" w:rsidP="002E6DF3">
      <w:r>
        <w:t>Solely for the purposes of the requirements of Article 9(8) of the MIFID Product Governance rules under EU Delegated Directive 2017/593 (the “</w:t>
      </w:r>
      <w:r w:rsidR="009C18C9" w:rsidRPr="009C18C9">
        <w:rPr>
          <w:b/>
        </w:rPr>
        <w:t xml:space="preserve">MiFID </w:t>
      </w:r>
      <w:r w:rsidRPr="00D74CEA">
        <w:rPr>
          <w:b/>
        </w:rPr>
        <w:t>Product Governance Rules</w:t>
      </w:r>
      <w:r w:rsidRPr="00FD58FC">
        <w:t>”</w:t>
      </w:r>
      <w:r>
        <w:t xml:space="preserve">) regarding the mutual responsibilities of manufacturers under the </w:t>
      </w:r>
      <w:r w:rsidR="00385846" w:rsidRPr="00385846">
        <w:t xml:space="preserve">MIFID </w:t>
      </w:r>
      <w:r>
        <w:t>Product Governance Rules:</w:t>
      </w:r>
    </w:p>
    <w:p w14:paraId="3777CC74" w14:textId="77777777" w:rsidR="00DA51B8" w:rsidRDefault="00D74CEA" w:rsidP="002E6DF3">
      <w:pPr>
        <w:pStyle w:val="Listlevel1aAlt5"/>
        <w:numPr>
          <w:ilvl w:val="0"/>
          <w:numId w:val="17"/>
        </w:numPr>
      </w:pPr>
      <w:r>
        <w:t>each of [</w:t>
      </w:r>
      <w:r w:rsidR="00B62476">
        <w:t>the Issuer [, the Guarantor[s]] and]</w:t>
      </w:r>
      <w:r>
        <w:t xml:space="preserve"> the [[Joint] Lead Manager[s]/[identify Manager(s) who is/are deem</w:t>
      </w:r>
      <w:r w:rsidR="00B62476">
        <w:t>ed to be MiFID manufacturer(s)]</w:t>
      </w:r>
      <w:r>
        <w:t xml:space="preserve"> (each a “</w:t>
      </w:r>
      <w:r w:rsidRPr="00325631">
        <w:rPr>
          <w:b/>
        </w:rPr>
        <w:t>Manufacturer</w:t>
      </w:r>
      <w:r w:rsidR="00FD58FC">
        <w:t xml:space="preserve">” and together </w:t>
      </w:r>
      <w:r w:rsidRPr="00FD58FC">
        <w:t>the</w:t>
      </w:r>
      <w:r w:rsidRPr="00325631">
        <w:rPr>
          <w:b/>
        </w:rPr>
        <w:t xml:space="preserve"> </w:t>
      </w:r>
      <w:r w:rsidR="00FD58FC" w:rsidRPr="00FD58FC">
        <w:t>“</w:t>
      </w:r>
      <w:r w:rsidRPr="00325631">
        <w:rPr>
          <w:b/>
        </w:rPr>
        <w:t>Manufacturers</w:t>
      </w:r>
      <w:r>
        <w:t xml:space="preserve">”) acknowledges to each other Manufacturer that it understands the responsibilities conferred upon it under the </w:t>
      </w:r>
      <w:r w:rsidR="00385846" w:rsidRPr="00385846">
        <w:t xml:space="preserve">MIFID </w:t>
      </w:r>
      <w:r>
        <w:t>Product Governance Rules relating to each of the product approval process, the target market and the proposed distribution channels as applying to the [Notes] and the related information set out in the [</w:t>
      </w:r>
      <w:r w:rsidR="003C6573">
        <w:t xml:space="preserve">investor presentation / </w:t>
      </w:r>
      <w:r w:rsidR="003C6573" w:rsidRPr="003C6573">
        <w:t xml:space="preserve">final terms </w:t>
      </w:r>
      <w:r w:rsidR="003C6573">
        <w:t xml:space="preserve">/ </w:t>
      </w:r>
      <w:r w:rsidR="003C6573" w:rsidRPr="003C6573">
        <w:t>prospectus</w:t>
      </w:r>
      <w:r>
        <w:t>] in connection with the [Notes]; and</w:t>
      </w:r>
    </w:p>
    <w:p w14:paraId="09EB604D" w14:textId="77777777" w:rsidR="00A2239D" w:rsidRDefault="00D74CEA" w:rsidP="00A2239D">
      <w:pPr>
        <w:pStyle w:val="Listlevel1aAlt5"/>
        <w:numPr>
          <w:ilvl w:val="0"/>
          <w:numId w:val="17"/>
        </w:numPr>
      </w:pPr>
      <w:r>
        <w:t>the [Managers] [and the/, the][</w:t>
      </w:r>
      <w:r w:rsidR="00B62476">
        <w:t xml:space="preserve"> Issuer[ and the Guarantor[s]] </w:t>
      </w:r>
      <w:r>
        <w:t>note the application of the</w:t>
      </w:r>
      <w:r w:rsidR="00385846">
        <w:t xml:space="preserve"> </w:t>
      </w:r>
      <w:r w:rsidR="00385846" w:rsidRPr="00385846">
        <w:t>MIFID</w:t>
      </w:r>
      <w:r>
        <w:t xml:space="preserve"> Product Governance Rules and acknowledge the target market and distribution channels identified as applying to the [Notes] by the Manufacturer[s] and the related information set out in the [</w:t>
      </w:r>
      <w:r w:rsidR="00A67913" w:rsidRPr="00A67913">
        <w:t>investor presentation / final terms / prospectus</w:t>
      </w:r>
      <w:r>
        <w:t>] in connection with the [Notes].</w:t>
      </w:r>
    </w:p>
    <w:p w14:paraId="25DA1B81" w14:textId="77777777" w:rsidR="00DA51B8" w:rsidRDefault="001C083D" w:rsidP="002E6DF3">
      <w:pPr>
        <w:pStyle w:val="Rubrik1"/>
      </w:pPr>
      <w:r>
        <w:t>PRIIPs rider</w:t>
      </w:r>
      <w:r w:rsidR="00E46F9E">
        <w:rPr>
          <w:rStyle w:val="Fotnotsreferens"/>
        </w:rPr>
        <w:footnoteReference w:id="20"/>
      </w:r>
    </w:p>
    <w:p w14:paraId="3B5DD9D0" w14:textId="77777777" w:rsidR="00852DA4" w:rsidRDefault="00852DA4" w:rsidP="009E25AC">
      <w:pPr>
        <w:pStyle w:val="Rubrik2"/>
      </w:pPr>
      <w:r w:rsidRPr="00852DA4">
        <w:t>Language to be included</w:t>
      </w:r>
      <w:r w:rsidR="009E25AC">
        <w:t xml:space="preserve"> </w:t>
      </w:r>
      <w:r w:rsidR="009E25AC" w:rsidRPr="009E25AC">
        <w:rPr>
          <w:i/>
        </w:rPr>
        <w:t>e.g.</w:t>
      </w:r>
      <w:r w:rsidRPr="00852DA4">
        <w:t xml:space="preserve"> in</w:t>
      </w:r>
      <w:r w:rsidR="00C37785">
        <w:t xml:space="preserve"> an investor presentation,</w:t>
      </w:r>
      <w:r w:rsidRPr="00852DA4">
        <w:t xml:space="preserve"> </w:t>
      </w:r>
      <w:r w:rsidR="00043C35">
        <w:t>a separate agreement between the issuer and the managers</w:t>
      </w:r>
      <w:r w:rsidR="009E25AC">
        <w:t xml:space="preserve"> or a</w:t>
      </w:r>
      <w:r w:rsidRPr="009E25AC">
        <w:t xml:space="preserve"> </w:t>
      </w:r>
      <w:r w:rsidRPr="00852DA4">
        <w:t>prospectus for a stand-alone issuance</w:t>
      </w:r>
      <w:r>
        <w:t xml:space="preserve"> not offered to retail investors</w:t>
      </w:r>
      <w:r w:rsidR="00B26842">
        <w:t xml:space="preserve">, provided that the </w:t>
      </w:r>
      <w:r w:rsidR="00F4479D">
        <w:t>[Notes] constitute a PRIIP</w:t>
      </w:r>
      <w:r w:rsidR="00B26842">
        <w:t xml:space="preserve"> product</w:t>
      </w:r>
      <w:r>
        <w:t>.</w:t>
      </w:r>
    </w:p>
    <w:p w14:paraId="1A79D203" w14:textId="77777777" w:rsidR="00DA51B8" w:rsidRDefault="00DA51B8" w:rsidP="002E6DF3">
      <w:r w:rsidRPr="005412E9">
        <w:t xml:space="preserve">The </w:t>
      </w:r>
      <w:r>
        <w:t>[</w:t>
      </w:r>
      <w:r w:rsidRPr="005412E9">
        <w:t>Notes</w:t>
      </w:r>
      <w:r>
        <w:t>]</w:t>
      </w:r>
      <w:r w:rsidRPr="005412E9">
        <w:t xml:space="preserve"> are not intended to be offered, sold or otherwise made available to</w:t>
      </w:r>
      <w:r w:rsidR="002E6DF3">
        <w:t>,</w:t>
      </w:r>
      <w:r w:rsidRPr="005412E9">
        <w:t xml:space="preserve"> and should not be offered, sold or otherwise made available to</w:t>
      </w:r>
      <w:r w:rsidR="002E6DF3">
        <w:t>,</w:t>
      </w:r>
      <w:r w:rsidRPr="005412E9">
        <w:t xml:space="preserve"> any retail investor in the European Economic Area (“</w:t>
      </w:r>
      <w:r w:rsidRPr="004341B9">
        <w:rPr>
          <w:b/>
        </w:rPr>
        <w:t>EEA</w:t>
      </w:r>
      <w:r w:rsidRPr="005412E9">
        <w:t xml:space="preserve">”). For these purposes, a retail investor means a person who is one (or more) of: (i) a retail client as defined in point (11) of Article 4(1) of </w:t>
      </w:r>
      <w:r w:rsidR="00FD58FC">
        <w:t>[</w:t>
      </w:r>
      <w:r w:rsidRPr="005412E9">
        <w:t>Directive 2014/65/EU (as amended, “</w:t>
      </w:r>
      <w:r w:rsidRPr="004341B9">
        <w:rPr>
          <w:b/>
        </w:rPr>
        <w:t>MiFID II</w:t>
      </w:r>
      <w:r w:rsidRPr="005412E9">
        <w:t>”)</w:t>
      </w:r>
      <w:r w:rsidR="00FD58FC" w:rsidRPr="00FD58FC">
        <w:t>/MiFID II</w:t>
      </w:r>
      <w:r w:rsidR="00FD58FC">
        <w:t>]</w:t>
      </w:r>
      <w:r w:rsidRPr="005412E9">
        <w:t>; (ii) a customer within the meaning of Directive 2002/92/EC (as amended, the “</w:t>
      </w:r>
      <w:r w:rsidRPr="004341B9">
        <w:rPr>
          <w:b/>
        </w:rPr>
        <w:t>Insurance Mediation Directive</w:t>
      </w:r>
      <w:r w:rsidRPr="005412E9">
        <w:t>”), where that customer would not qualify as a professional client as defined in point (10) of Article 4(1) of MiFID II; or (iii) not a qualified investor as defined in Directive 2003/71/EC (as amended, the “</w:t>
      </w:r>
      <w:r w:rsidRPr="004341B9">
        <w:rPr>
          <w:b/>
        </w:rPr>
        <w:t>Prospectus Directive</w:t>
      </w:r>
      <w:r w:rsidR="003E0422">
        <w:t xml:space="preserve">”). </w:t>
      </w:r>
      <w:r w:rsidR="003E0422" w:rsidRPr="003E0422">
        <w:t>[Consequently no key information document required by Regulation (EU) No 1286/2014 (as amended the “</w:t>
      </w:r>
      <w:r w:rsidR="003E0422" w:rsidRPr="003E0422">
        <w:rPr>
          <w:b/>
        </w:rPr>
        <w:t>PRIIPs Regulation</w:t>
      </w:r>
      <w:r w:rsidR="003E0422" w:rsidRPr="003E0422">
        <w:t>”) for offering or selling the [Notes] or otherwise making them available to retail investors in the EEA has been prepared and therefore offering or selling the [Notes] or otherwise making them available to any retail investor in the EEA may be unlawful under the PRIIPs Regulation.]</w:t>
      </w:r>
      <w:r w:rsidR="003E0422">
        <w:rPr>
          <w:rStyle w:val="Fotnotsreferens"/>
        </w:rPr>
        <w:footnoteReference w:id="21"/>
      </w:r>
      <w:r w:rsidR="003E0422">
        <w:t xml:space="preserve"> </w:t>
      </w:r>
    </w:p>
    <w:p w14:paraId="4E7A8193" w14:textId="77777777" w:rsidR="00A82074" w:rsidRDefault="00A82074" w:rsidP="009E25AC">
      <w:pPr>
        <w:pStyle w:val="Rubrik2"/>
      </w:pPr>
      <w:r w:rsidRPr="00852DA4">
        <w:t>Language to be included</w:t>
      </w:r>
      <w:r w:rsidR="00204F9A">
        <w:t xml:space="preserve"> </w:t>
      </w:r>
      <w:r w:rsidR="00204F9A" w:rsidRPr="00204F9A">
        <w:rPr>
          <w:i/>
        </w:rPr>
        <w:t>e.g.</w:t>
      </w:r>
      <w:r w:rsidRPr="00852DA4">
        <w:t xml:space="preserve"> in </w:t>
      </w:r>
      <w:r w:rsidR="00043C35">
        <w:t>a separate agreement betw</w:t>
      </w:r>
      <w:r w:rsidR="00C37785">
        <w:t>een the issuer and the managers or</w:t>
      </w:r>
      <w:r w:rsidR="00043C35">
        <w:t xml:space="preserve"> in </w:t>
      </w:r>
      <w:r w:rsidRPr="00852DA4">
        <w:t>an MTN prospectus</w:t>
      </w:r>
      <w:r w:rsidR="00661994">
        <w:t>,</w:t>
      </w:r>
      <w:r w:rsidRPr="00852DA4">
        <w:t xml:space="preserve"> </w:t>
      </w:r>
      <w:r w:rsidR="00713D54">
        <w:t>provided that</w:t>
      </w:r>
      <w:r>
        <w:t xml:space="preserve"> </w:t>
      </w:r>
      <w:r w:rsidR="00F4479D">
        <w:t>[Notes]</w:t>
      </w:r>
      <w:r w:rsidR="00713D54">
        <w:t xml:space="preserve"> under the programme possibly</w:t>
      </w:r>
      <w:r w:rsidR="009E25AC">
        <w:t xml:space="preserve"> </w:t>
      </w:r>
      <w:r w:rsidR="009E25AC" w:rsidRPr="009E25AC">
        <w:t>could</w:t>
      </w:r>
      <w:r w:rsidR="00F4479D">
        <w:t xml:space="preserve"> constitute a PRIIP </w:t>
      </w:r>
      <w:r>
        <w:t>product.</w:t>
      </w:r>
    </w:p>
    <w:p w14:paraId="4CC9BEFD" w14:textId="77777777" w:rsidR="008413F4" w:rsidRDefault="00F4479D" w:rsidP="00471E6B">
      <w:r>
        <w:t xml:space="preserve">Should </w:t>
      </w:r>
      <w:r w:rsidR="00E128DB">
        <w:t>certain issues</w:t>
      </w:r>
      <w:r w:rsidR="00705592">
        <w:t xml:space="preserve"> of </w:t>
      </w:r>
      <w:r>
        <w:t>the [Notes]</w:t>
      </w:r>
      <w:r w:rsidR="006D492E">
        <w:t xml:space="preserve"> </w:t>
      </w:r>
      <w:r>
        <w:t xml:space="preserve">be subject to </w:t>
      </w:r>
      <w:r w:rsidRPr="00F4479D">
        <w:t>Regulation (EU) No 1286/2014 (as amended the “</w:t>
      </w:r>
      <w:r w:rsidRPr="00F4479D">
        <w:rPr>
          <w:b/>
        </w:rPr>
        <w:t>PRIIPs Regulation</w:t>
      </w:r>
      <w:r w:rsidRPr="00F4479D">
        <w:t>”)</w:t>
      </w:r>
      <w:r>
        <w:t xml:space="preserve">, such [Notes] may not be </w:t>
      </w:r>
      <w:r w:rsidRPr="00F4479D">
        <w:t>offered, sold or otherwise made available</w:t>
      </w:r>
      <w:r>
        <w:t xml:space="preserve"> to </w:t>
      </w:r>
      <w:r w:rsidRPr="005412E9">
        <w:t>any retail investor in the European Economic Area (“</w:t>
      </w:r>
      <w:r w:rsidRPr="004341B9">
        <w:rPr>
          <w:b/>
        </w:rPr>
        <w:t>EEA</w:t>
      </w:r>
      <w:r w:rsidRPr="005412E9">
        <w:t>”)</w:t>
      </w:r>
      <w:r w:rsidR="00705592">
        <w:t>. T</w:t>
      </w:r>
      <w:r w:rsidR="00167A20">
        <w:t>his</w:t>
      </w:r>
      <w:r w:rsidR="00705592">
        <w:t xml:space="preserve"> limitation is a result of </w:t>
      </w:r>
      <w:r w:rsidR="007E5F5A">
        <w:t xml:space="preserve">the fact </w:t>
      </w:r>
      <w:r w:rsidR="00E512B5">
        <w:t xml:space="preserve">that </w:t>
      </w:r>
      <w:r w:rsidR="00CE346C">
        <w:t>no</w:t>
      </w:r>
      <w:r w:rsidR="00E512B5">
        <w:t xml:space="preserve"> </w:t>
      </w:r>
      <w:r w:rsidR="00826C7D" w:rsidRPr="00826C7D">
        <w:t>key information document required</w:t>
      </w:r>
      <w:r w:rsidR="00713D54">
        <w:t xml:space="preserve"> under </w:t>
      </w:r>
      <w:r w:rsidR="00826C7D">
        <w:t>the PRIIPs Regulation</w:t>
      </w:r>
      <w:r w:rsidR="00826C7D" w:rsidRPr="00826C7D">
        <w:t xml:space="preserve"> </w:t>
      </w:r>
      <w:r w:rsidR="00E512B5">
        <w:t>has been</w:t>
      </w:r>
      <w:r w:rsidR="00743499">
        <w:t>, or</w:t>
      </w:r>
      <w:r w:rsidR="00260776">
        <w:t xml:space="preserve"> will </w:t>
      </w:r>
      <w:r w:rsidR="00743499">
        <w:t>be,</w:t>
      </w:r>
      <w:r w:rsidR="00E512B5">
        <w:t xml:space="preserve"> prepared</w:t>
      </w:r>
      <w:r w:rsidR="00260776">
        <w:t xml:space="preserve"> for any [Notes]</w:t>
      </w:r>
      <w:r w:rsidR="00950C0A">
        <w:t xml:space="preserve"> under the programme</w:t>
      </w:r>
      <w:r w:rsidR="00E512B5">
        <w:t>, which</w:t>
      </w:r>
      <w:r w:rsidR="00B244AE">
        <w:t xml:space="preserve"> is required when</w:t>
      </w:r>
      <w:r w:rsidR="004C52B6">
        <w:t xml:space="preserve"> the</w:t>
      </w:r>
      <w:r w:rsidR="00B244AE">
        <w:t xml:space="preserve"> </w:t>
      </w:r>
      <w:r w:rsidR="00E512B5">
        <w:t>[Notes]</w:t>
      </w:r>
      <w:r w:rsidR="00B244AE">
        <w:t xml:space="preserve"> </w:t>
      </w:r>
      <w:r w:rsidR="00E512B5">
        <w:t>subject to the PRIIPs Regulation</w:t>
      </w:r>
      <w:r w:rsidR="00B244AE">
        <w:t xml:space="preserve"> are offered</w:t>
      </w:r>
      <w:r w:rsidR="00E512B5">
        <w:t xml:space="preserve"> to retail investors</w:t>
      </w:r>
      <w:r w:rsidR="00B244AE">
        <w:t>.</w:t>
      </w:r>
      <w:r w:rsidR="00E512B5">
        <w:t xml:space="preserve"> </w:t>
      </w:r>
      <w:r w:rsidR="00CA2AA3">
        <w:t xml:space="preserve">Consequently, the </w:t>
      </w:r>
      <w:r w:rsidR="00CA2AA3" w:rsidRPr="00CA2AA3">
        <w:t xml:space="preserve">offering or selling </w:t>
      </w:r>
      <w:r w:rsidR="00826C7D">
        <w:t xml:space="preserve">of </w:t>
      </w:r>
      <w:r w:rsidR="00CA2AA3" w:rsidRPr="00CA2AA3">
        <w:t>the [Notes]</w:t>
      </w:r>
      <w:r w:rsidR="00826C7D">
        <w:t>,</w:t>
      </w:r>
      <w:r w:rsidR="00CA2AA3" w:rsidRPr="00CA2AA3">
        <w:t xml:space="preserve"> or otherw</w:t>
      </w:r>
      <w:r w:rsidR="00CA2AA3">
        <w:t>ise making them available to</w:t>
      </w:r>
      <w:r w:rsidR="00826C7D">
        <w:t xml:space="preserve"> any</w:t>
      </w:r>
      <w:r w:rsidR="00CA2AA3" w:rsidRPr="00CA2AA3">
        <w:t xml:space="preserve"> retail investor in the EEA</w:t>
      </w:r>
      <w:r w:rsidR="00826C7D">
        <w:t>,</w:t>
      </w:r>
      <w:r w:rsidR="00CA2AA3" w:rsidRPr="00CA2AA3">
        <w:t xml:space="preserve"> may be unlawful under the PRIIPs Regulation.</w:t>
      </w:r>
      <w:r w:rsidR="00E77A44">
        <w:t xml:space="preserve"> </w:t>
      </w:r>
      <w:r w:rsidR="00826C7D">
        <w:t>A</w:t>
      </w:r>
      <w:r w:rsidR="00EA2911" w:rsidRPr="00EA2911">
        <w:t xml:space="preserve"> retail investor means a person who is one (or more) of: (i) a retail client as defined in point (11) of Article 4(1) of [Directive 2014/65/EU (as amended, “</w:t>
      </w:r>
      <w:r w:rsidR="00EA2911" w:rsidRPr="00EA2911">
        <w:rPr>
          <w:b/>
        </w:rPr>
        <w:t>MiFID II</w:t>
      </w:r>
      <w:r w:rsidR="00EA2911" w:rsidRPr="00EA2911">
        <w:t>”)/MiFID II]; (ii) a customer within the meaning of Directive 2002/92/EC (as amended, the “</w:t>
      </w:r>
      <w:r w:rsidR="00EA2911" w:rsidRPr="00EA2911">
        <w:rPr>
          <w:b/>
        </w:rPr>
        <w:t>Insurance Mediation Directive</w:t>
      </w:r>
      <w:r w:rsidR="00EA2911" w:rsidRPr="00EA2911">
        <w:t>”), where that customer would not qualify as a professional client as defined in point (10) of Article 4(1) of MiFID II; or (iii) not a qualified investor as defined in Directive 2003/71/EC (as amended, the “</w:t>
      </w:r>
      <w:r w:rsidR="00EA2911" w:rsidRPr="00EA2911">
        <w:rPr>
          <w:b/>
        </w:rPr>
        <w:t>Prospectus Directive</w:t>
      </w:r>
      <w:r w:rsidR="00EA2911" w:rsidRPr="00EA2911">
        <w:t>”).</w:t>
      </w:r>
    </w:p>
    <w:p w14:paraId="72B0E0E6" w14:textId="77777777" w:rsidR="00A3079C" w:rsidRDefault="00A3079C">
      <w:pPr>
        <w:spacing w:after="0"/>
      </w:pPr>
      <w:r>
        <w:br w:type="page"/>
      </w:r>
    </w:p>
    <w:p w14:paraId="06B0D477" w14:textId="77777777" w:rsidR="00510343" w:rsidRDefault="001B21AF" w:rsidP="00471E6B">
      <w:r>
        <w:br/>
      </w:r>
    </w:p>
    <w:p w14:paraId="48D384EA" w14:textId="77777777" w:rsidR="008413F4" w:rsidRPr="00F04D67" w:rsidRDefault="008413F4" w:rsidP="00B449AC">
      <w:pPr>
        <w:pBdr>
          <w:top w:val="single" w:sz="4" w:space="1" w:color="auto"/>
          <w:left w:val="single" w:sz="4" w:space="4" w:color="auto"/>
          <w:bottom w:val="single" w:sz="4" w:space="1" w:color="auto"/>
          <w:right w:val="single" w:sz="4" w:space="4" w:color="auto"/>
        </w:pBdr>
        <w:rPr>
          <w:sz w:val="20"/>
          <w:szCs w:val="20"/>
          <w:lang w:val="en-US"/>
        </w:rPr>
      </w:pPr>
    </w:p>
    <w:p w14:paraId="759EDADF" w14:textId="77777777" w:rsidR="007B191B" w:rsidRPr="00471E6B" w:rsidRDefault="0061350B" w:rsidP="00B449AC">
      <w:pPr>
        <w:pBdr>
          <w:top w:val="single" w:sz="4" w:space="1" w:color="auto"/>
          <w:left w:val="single" w:sz="4" w:space="4" w:color="auto"/>
          <w:bottom w:val="single" w:sz="4" w:space="1" w:color="auto"/>
          <w:right w:val="single" w:sz="4" w:space="4" w:color="auto"/>
        </w:pBdr>
        <w:rPr>
          <w:sz w:val="20"/>
          <w:szCs w:val="20"/>
          <w:lang w:val="sv-SE"/>
        </w:rPr>
      </w:pPr>
      <w:r w:rsidRPr="00471E6B">
        <w:rPr>
          <w:sz w:val="20"/>
          <w:szCs w:val="20"/>
          <w:lang w:val="sv-SE"/>
        </w:rPr>
        <w:t>Detta do</w:t>
      </w:r>
      <w:r w:rsidR="00AA5C8A" w:rsidRPr="00471E6B">
        <w:rPr>
          <w:sz w:val="20"/>
          <w:szCs w:val="20"/>
          <w:lang w:val="sv-SE"/>
        </w:rPr>
        <w:t>k</w:t>
      </w:r>
      <w:r w:rsidRPr="00471E6B">
        <w:rPr>
          <w:sz w:val="20"/>
          <w:szCs w:val="20"/>
          <w:lang w:val="sv-SE"/>
        </w:rPr>
        <w:t>ument utgör ett förslag till malltext som har tagits fram av en arbetsgrupp inom Svenska Fondhandlareföreningen. Inom ramen för arbetet har synpunkter från ett antal olika intressenter på den svenska obligationsmarknaden inhämtats och beaktats.</w:t>
      </w:r>
    </w:p>
    <w:p w14:paraId="6A3FA35B" w14:textId="77777777" w:rsidR="007B191B" w:rsidRPr="00471E6B" w:rsidRDefault="007B191B" w:rsidP="00B449AC">
      <w:pPr>
        <w:pBdr>
          <w:top w:val="single" w:sz="4" w:space="1" w:color="auto"/>
          <w:left w:val="single" w:sz="4" w:space="4" w:color="auto"/>
          <w:bottom w:val="single" w:sz="4" w:space="1" w:color="auto"/>
          <w:right w:val="single" w:sz="4" w:space="4" w:color="auto"/>
        </w:pBdr>
        <w:rPr>
          <w:sz w:val="20"/>
          <w:szCs w:val="20"/>
          <w:lang w:val="sv-SE"/>
        </w:rPr>
      </w:pPr>
      <w:r w:rsidRPr="00471E6B">
        <w:rPr>
          <w:sz w:val="20"/>
          <w:szCs w:val="20"/>
          <w:lang w:val="sv-SE"/>
        </w:rPr>
        <w:t xml:space="preserve">Dokumentet innehåller s.k. riders som kan inkluderas i den dokumentation som används vid </w:t>
      </w:r>
      <w:r w:rsidR="000622F1" w:rsidRPr="00471E6B">
        <w:rPr>
          <w:sz w:val="20"/>
          <w:szCs w:val="20"/>
          <w:lang w:val="sv-SE"/>
        </w:rPr>
        <w:t>emissioner</w:t>
      </w:r>
      <w:r w:rsidRPr="00471E6B">
        <w:rPr>
          <w:sz w:val="20"/>
          <w:szCs w:val="20"/>
          <w:lang w:val="sv-SE"/>
        </w:rPr>
        <w:t xml:space="preserve"> av obligationer för att uppfyll</w:t>
      </w:r>
      <w:r w:rsidR="00C85536">
        <w:rPr>
          <w:sz w:val="20"/>
          <w:szCs w:val="20"/>
          <w:lang w:val="sv-SE"/>
        </w:rPr>
        <w:t>a</w:t>
      </w:r>
      <w:r w:rsidRPr="00471E6B">
        <w:rPr>
          <w:sz w:val="20"/>
          <w:szCs w:val="20"/>
          <w:lang w:val="sv-SE"/>
        </w:rPr>
        <w:t xml:space="preserve"> kraven avseende product governance i MiFID II.</w:t>
      </w:r>
    </w:p>
    <w:p w14:paraId="266ACE20" w14:textId="77777777" w:rsidR="007B191B" w:rsidRPr="00471E6B" w:rsidRDefault="007B191B" w:rsidP="00B449AC">
      <w:pPr>
        <w:pBdr>
          <w:top w:val="single" w:sz="4" w:space="1" w:color="auto"/>
          <w:left w:val="single" w:sz="4" w:space="4" w:color="auto"/>
          <w:bottom w:val="single" w:sz="4" w:space="1" w:color="auto"/>
          <w:right w:val="single" w:sz="4" w:space="4" w:color="auto"/>
        </w:pBdr>
        <w:rPr>
          <w:sz w:val="20"/>
          <w:szCs w:val="20"/>
          <w:lang w:val="sv-SE"/>
        </w:rPr>
      </w:pPr>
      <w:r w:rsidRPr="00471E6B">
        <w:rPr>
          <w:sz w:val="20"/>
          <w:szCs w:val="20"/>
          <w:lang w:val="sv-SE"/>
        </w:rPr>
        <w:t>Dokumentet innehåller ett antal fotnoter och texter inom hakparentes</w:t>
      </w:r>
      <w:r w:rsidR="002F20DC" w:rsidRPr="00471E6B">
        <w:rPr>
          <w:sz w:val="20"/>
          <w:szCs w:val="20"/>
          <w:lang w:val="sv-SE"/>
        </w:rPr>
        <w:t>.</w:t>
      </w:r>
      <w:r w:rsidRPr="00471E6B">
        <w:rPr>
          <w:sz w:val="20"/>
          <w:szCs w:val="20"/>
          <w:lang w:val="sv-SE"/>
        </w:rPr>
        <w:t xml:space="preserve"> Det indikerar att texterna kan tas med i de slutliga villkoren beroende på överväganden avseende den specifika emissionen eller att det finns olika alternativ eller uppfattningar avseende den relevanta frågan. Den som använder dokumentet som utgångspunkt för att ta fram villkor har själv att ta ställning till om och i vilken omfattning dessa villkor passar för den aktuella emissionen. </w:t>
      </w:r>
    </w:p>
    <w:p w14:paraId="6A7262F6" w14:textId="77777777" w:rsidR="007B191B" w:rsidRPr="00471E6B" w:rsidRDefault="007B191B" w:rsidP="00B449AC">
      <w:pPr>
        <w:pBdr>
          <w:top w:val="single" w:sz="4" w:space="1" w:color="auto"/>
          <w:left w:val="single" w:sz="4" w:space="4" w:color="auto"/>
          <w:bottom w:val="single" w:sz="4" w:space="1" w:color="auto"/>
          <w:right w:val="single" w:sz="4" w:space="4" w:color="auto"/>
        </w:pBdr>
        <w:rPr>
          <w:sz w:val="20"/>
          <w:szCs w:val="20"/>
          <w:lang w:val="sv-SE"/>
        </w:rPr>
      </w:pPr>
      <w:r w:rsidRPr="00471E6B">
        <w:rPr>
          <w:sz w:val="20"/>
          <w:szCs w:val="20"/>
          <w:lang w:val="sv-SE"/>
        </w:rPr>
        <w:t xml:space="preserve">Dokumentet reflekterar inte marknadspraxis och utgör inte heller någon standard. Den som använder dokumentet som utgångspunkt för att ta fram villkor måste göra sin egen bedömning och har själv att ta ställning till om och i vilken omfattning dessa villkor passar för den aktuella emissionen, dvs. varje användare bör involvera sin egen legala rådgivare och ansvarar själv för att texten uppfyller tillämpliga lagar, regler och föreskrifter. </w:t>
      </w:r>
    </w:p>
    <w:p w14:paraId="414B6031" w14:textId="77777777" w:rsidR="007B191B" w:rsidRPr="00471E6B" w:rsidRDefault="007B191B" w:rsidP="00B449AC">
      <w:pPr>
        <w:pBdr>
          <w:top w:val="single" w:sz="4" w:space="1" w:color="auto"/>
          <w:left w:val="single" w:sz="4" w:space="4" w:color="auto"/>
          <w:bottom w:val="single" w:sz="4" w:space="1" w:color="auto"/>
          <w:right w:val="single" w:sz="4" w:space="4" w:color="auto"/>
        </w:pBdr>
        <w:rPr>
          <w:sz w:val="20"/>
          <w:szCs w:val="20"/>
          <w:lang w:val="sv-SE"/>
        </w:rPr>
      </w:pPr>
      <w:r w:rsidRPr="00471E6B">
        <w:rPr>
          <w:sz w:val="20"/>
          <w:szCs w:val="20"/>
          <w:lang w:val="sv-SE"/>
        </w:rPr>
        <w:t>Svenska Fondhandlareföreningens medlemmar och andra som använder dokumentet uppmanas at</w:t>
      </w:r>
      <w:r w:rsidR="00F02C3A">
        <w:rPr>
          <w:sz w:val="20"/>
          <w:szCs w:val="20"/>
          <w:lang w:val="sv-SE"/>
        </w:rPr>
        <w:t>t</w:t>
      </w:r>
      <w:r w:rsidRPr="00471E6B">
        <w:rPr>
          <w:sz w:val="20"/>
          <w:szCs w:val="20"/>
          <w:lang w:val="sv-SE"/>
        </w:rPr>
        <w:t xml:space="preserve"> skicka in eventuella synpunkter på dokumentet till kansliet per email. </w:t>
      </w:r>
      <w:r w:rsidR="00F02C3A">
        <w:rPr>
          <w:sz w:val="20"/>
          <w:szCs w:val="20"/>
          <w:lang w:val="sv-SE"/>
        </w:rPr>
        <w:t xml:space="preserve">Dokumentet kommer att uppdateras med jämna mellanrum. </w:t>
      </w:r>
    </w:p>
    <w:p w14:paraId="03B61611" w14:textId="77777777" w:rsidR="008413F4" w:rsidRDefault="007B191B" w:rsidP="00471E6B">
      <w:pPr>
        <w:pBdr>
          <w:top w:val="single" w:sz="4" w:space="1" w:color="auto"/>
          <w:left w:val="single" w:sz="4" w:space="4" w:color="auto"/>
          <w:bottom w:val="single" w:sz="4" w:space="1" w:color="auto"/>
          <w:right w:val="single" w:sz="4" w:space="4" w:color="auto"/>
        </w:pBdr>
        <w:rPr>
          <w:sz w:val="20"/>
          <w:szCs w:val="20"/>
          <w:lang w:val="sv-SE"/>
        </w:rPr>
      </w:pPr>
      <w:r w:rsidRPr="00471E6B">
        <w:rPr>
          <w:sz w:val="20"/>
          <w:szCs w:val="20"/>
          <w:lang w:val="sv-SE"/>
        </w:rPr>
        <w:t>Kansliets kontaktperson: Erica Johansson (</w:t>
      </w:r>
      <w:hyperlink r:id="rId11" w:history="1">
        <w:r w:rsidRPr="00471E6B">
          <w:rPr>
            <w:rStyle w:val="Hyperlnk"/>
            <w:sz w:val="20"/>
            <w:szCs w:val="20"/>
            <w:lang w:val="sv-SE"/>
          </w:rPr>
          <w:t>erica@fondhandlarna.se</w:t>
        </w:r>
      </w:hyperlink>
      <w:r w:rsidRPr="00471E6B">
        <w:rPr>
          <w:sz w:val="20"/>
          <w:szCs w:val="20"/>
          <w:lang w:val="sv-SE"/>
        </w:rPr>
        <w:t>; +46 8 562 607 05)</w:t>
      </w:r>
      <w:r w:rsidRPr="00471E6B">
        <w:rPr>
          <w:sz w:val="20"/>
          <w:szCs w:val="20"/>
          <w:lang w:val="sv-SE"/>
        </w:rPr>
        <w:br/>
        <w:t>Svenska Fondhandlareföreningen (Swedish Securities Dealers Association)</w:t>
      </w:r>
      <w:r w:rsidRPr="00471E6B">
        <w:rPr>
          <w:sz w:val="20"/>
          <w:szCs w:val="20"/>
          <w:lang w:val="sv-SE"/>
        </w:rPr>
        <w:br/>
        <w:t>Postadress: Box 1426, 111 84 Stockholm</w:t>
      </w:r>
      <w:r w:rsidRPr="00471E6B">
        <w:rPr>
          <w:sz w:val="20"/>
          <w:szCs w:val="20"/>
          <w:lang w:val="sv-SE"/>
        </w:rPr>
        <w:br/>
        <w:t xml:space="preserve">Adress: </w:t>
      </w:r>
      <w:r w:rsidR="005A13EB" w:rsidRPr="00471E6B">
        <w:rPr>
          <w:sz w:val="20"/>
          <w:szCs w:val="20"/>
          <w:lang w:val="sv-SE"/>
        </w:rPr>
        <w:t xml:space="preserve">SE - </w:t>
      </w:r>
      <w:r w:rsidRPr="00471E6B">
        <w:rPr>
          <w:sz w:val="20"/>
          <w:szCs w:val="20"/>
          <w:lang w:val="sv-SE"/>
        </w:rPr>
        <w:t>Blasieholmsgatan 4B, 4 tr</w:t>
      </w:r>
      <w:r w:rsidR="000622F1" w:rsidRPr="00471E6B">
        <w:rPr>
          <w:sz w:val="20"/>
          <w:szCs w:val="20"/>
          <w:lang w:val="sv-SE"/>
        </w:rPr>
        <w:br/>
      </w:r>
      <w:hyperlink r:id="rId12" w:history="1">
        <w:r w:rsidR="008413F4" w:rsidRPr="005F34E4">
          <w:rPr>
            <w:rStyle w:val="Hyperlnk"/>
            <w:sz w:val="20"/>
            <w:szCs w:val="20"/>
            <w:lang w:val="sv-SE"/>
          </w:rPr>
          <w:t>www.fondhandlarna.se</w:t>
        </w:r>
      </w:hyperlink>
      <w:r w:rsidRPr="00471E6B">
        <w:rPr>
          <w:sz w:val="20"/>
          <w:szCs w:val="20"/>
          <w:lang w:val="sv-SE"/>
        </w:rPr>
        <w:t xml:space="preserve"> </w:t>
      </w:r>
    </w:p>
    <w:p w14:paraId="7B792A9E" w14:textId="77777777" w:rsidR="007B191B" w:rsidRPr="00471E6B" w:rsidRDefault="000E7EEF" w:rsidP="00471E6B">
      <w:pPr>
        <w:pBdr>
          <w:top w:val="single" w:sz="4" w:space="1" w:color="auto"/>
          <w:left w:val="single" w:sz="4" w:space="4" w:color="auto"/>
          <w:bottom w:val="single" w:sz="4" w:space="1" w:color="auto"/>
          <w:right w:val="single" w:sz="4" w:space="4" w:color="auto"/>
        </w:pBdr>
        <w:rPr>
          <w:sz w:val="20"/>
          <w:szCs w:val="20"/>
          <w:lang w:val="sv-SE"/>
        </w:rPr>
      </w:pPr>
      <w:r>
        <w:rPr>
          <w:sz w:val="20"/>
          <w:szCs w:val="20"/>
          <w:lang w:val="sv-SE"/>
        </w:rPr>
        <w:br/>
      </w:r>
    </w:p>
    <w:sectPr w:rsidR="007B191B" w:rsidRPr="00471E6B" w:rsidSect="00380824">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A6686" w14:textId="77777777" w:rsidR="001E48C8" w:rsidRDefault="001E48C8">
      <w:r>
        <w:separator/>
      </w:r>
    </w:p>
  </w:endnote>
  <w:endnote w:type="continuationSeparator" w:id="0">
    <w:p w14:paraId="2598B4B6" w14:textId="77777777" w:rsidR="001E48C8" w:rsidRDefault="001E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4EF5E" w14:textId="77777777" w:rsidR="007127D3" w:rsidRDefault="007127D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3690" w14:textId="77777777" w:rsidR="007127D3" w:rsidRDefault="007127D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5F718" w14:textId="77777777" w:rsidR="00DD041A" w:rsidRDefault="00DD041A" w:rsidP="009C2AFE">
    <w:pPr>
      <w:spacing w:before="200" w:after="200" w:line="288" w:lineRule="auto"/>
      <w:jc w:val="center"/>
      <w:rPr>
        <w:rFonts w:ascii="CG Times" w:hAnsi="CG Times"/>
        <w:b/>
        <w:bCs/>
        <w:sz w:val="16"/>
        <w:lang w:eastAsia="en-US"/>
      </w:rPr>
    </w:pPr>
    <w:r w:rsidRPr="00DD041A">
      <w:rPr>
        <w:rFonts w:ascii="Symbol" w:hAnsi="Symbol"/>
        <w:b/>
        <w:bCs/>
        <w:sz w:val="20"/>
        <w:szCs w:val="22"/>
      </w:rPr>
      <w:t></w:t>
    </w:r>
    <w:r w:rsidRPr="00DD041A">
      <w:rPr>
        <w:rFonts w:ascii="Symbol" w:hAnsi="Symbol"/>
        <w:sz w:val="20"/>
        <w:szCs w:val="22"/>
      </w:rPr>
      <w:t></w:t>
    </w:r>
    <w:r w:rsidRPr="00DD041A">
      <w:rPr>
        <w:b/>
        <w:sz w:val="16"/>
      </w:rPr>
      <w:t>Swedish Securities Dealers Association. All rights reserved.</w:t>
    </w:r>
  </w:p>
  <w:p w14:paraId="08A514FC" w14:textId="77777777" w:rsidR="00DD041A" w:rsidRDefault="00DD041A">
    <w:pPr>
      <w:pStyle w:val="Sidfot"/>
    </w:pPr>
  </w:p>
  <w:p w14:paraId="4022C30A" w14:textId="77777777" w:rsidR="00DD041A" w:rsidRDefault="00DD04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62FC5" w14:textId="77777777" w:rsidR="001E48C8" w:rsidRDefault="001E48C8">
      <w:r>
        <w:separator/>
      </w:r>
    </w:p>
  </w:footnote>
  <w:footnote w:type="continuationSeparator" w:id="0">
    <w:p w14:paraId="52EB052F" w14:textId="77777777" w:rsidR="001E48C8" w:rsidRDefault="001E48C8">
      <w:r>
        <w:continuationSeparator/>
      </w:r>
    </w:p>
  </w:footnote>
  <w:footnote w:id="1">
    <w:p w14:paraId="07CF186B" w14:textId="77777777" w:rsidR="00E13F48" w:rsidRPr="00E13F48" w:rsidRDefault="00E13F48">
      <w:pPr>
        <w:pStyle w:val="Fotnotstext"/>
      </w:pPr>
      <w:r>
        <w:rPr>
          <w:rStyle w:val="Fotnotsreferens"/>
        </w:rPr>
        <w:footnoteRef/>
      </w:r>
      <w:r>
        <w:t xml:space="preserve"> </w:t>
      </w:r>
      <w:r w:rsidRPr="00E13F48">
        <w:t xml:space="preserve">If target market information will not be included in the final terms, the first sentence should be updated, </w:t>
      </w:r>
      <w:r w:rsidRPr="00E13F48">
        <w:rPr>
          <w:i/>
        </w:rPr>
        <w:t>e.g.</w:t>
      </w:r>
      <w:r w:rsidRPr="00E13F48">
        <w:t xml:space="preserve"> according to the following example wording: “</w:t>
      </w:r>
      <w:r w:rsidRPr="00E13F48">
        <w:rPr>
          <w:i/>
        </w:rPr>
        <w:t>In respect of each issue of the [Notes], a target market assessment will be made in respect of the [Notes] and appropriate channels for distribution of the [Notes] will be determined.</w:t>
      </w:r>
      <w:r w:rsidRPr="00E13F48">
        <w:t>”</w:t>
      </w:r>
      <w:r>
        <w:t>.</w:t>
      </w:r>
    </w:p>
  </w:footnote>
  <w:footnote w:id="2">
    <w:p w14:paraId="2EE86D15" w14:textId="77777777" w:rsidR="00C25FF8" w:rsidRPr="000C1DC2" w:rsidRDefault="00C25FF8" w:rsidP="00C25FF8">
      <w:pPr>
        <w:pStyle w:val="Fotnotstext"/>
      </w:pPr>
      <w:r>
        <w:rPr>
          <w:rStyle w:val="Fotnotsreferens"/>
        </w:rPr>
        <w:footnoteRef/>
      </w:r>
      <w:r>
        <w:t xml:space="preserve"> </w:t>
      </w:r>
      <w:r w:rsidRPr="00D8057B">
        <w:t xml:space="preserve">Assessment to be made in relation to each issue whether the entities involved are creating, developing, designing or issuing the financial instrument, and, in relation to a non-MiFID entity, advising the </w:t>
      </w:r>
      <w:r>
        <w:t>issuer in respect of the issue.</w:t>
      </w:r>
    </w:p>
  </w:footnote>
  <w:footnote w:id="3">
    <w:p w14:paraId="25AD788D" w14:textId="77777777" w:rsidR="00383472" w:rsidRDefault="00657FEC" w:rsidP="00383472">
      <w:pPr>
        <w:pStyle w:val="Fotnotstext"/>
      </w:pPr>
      <w:r>
        <w:rPr>
          <w:rStyle w:val="Fotnotsreferens"/>
        </w:rPr>
        <w:footnoteRef/>
      </w:r>
      <w:r>
        <w:t xml:space="preserve"> It should be considered whether the product would be incompatible with the needs, characteristics or objectives of certain clients (i.e. negative target market). The negative target market is not necessarily the opposite of the positive target market</w:t>
      </w:r>
      <w:r w:rsidR="00B14F24">
        <w:t>, and it is not likely that the absence of an explicit negative target market</w:t>
      </w:r>
      <w:r w:rsidR="00893D6E">
        <w:t xml:space="preserve"> would result</w:t>
      </w:r>
      <w:r w:rsidR="00B14F24">
        <w:t xml:space="preserve"> in the negative target market being determined </w:t>
      </w:r>
      <w:r w:rsidR="002647DF">
        <w:t>on a</w:t>
      </w:r>
      <w:r w:rsidR="00B14F24">
        <w:t xml:space="preserve"> contrario</w:t>
      </w:r>
      <w:r w:rsidR="002647DF">
        <w:t xml:space="preserve"> basis</w:t>
      </w:r>
      <w:r w:rsidR="00B14F24">
        <w:t xml:space="preserve"> of the positive target market (see ESMA PG guidelines paragraph 68</w:t>
      </w:r>
      <w:r w:rsidR="002647DF">
        <w:t xml:space="preserve"> and</w:t>
      </w:r>
      <w:r w:rsidR="002647DF" w:rsidRPr="002647DF">
        <w:t xml:space="preserve"> ESMA’s Final Report on Guidelines on MiFID II product governance requirements</w:t>
      </w:r>
      <w:r w:rsidR="002647DF">
        <w:t xml:space="preserve"> paragraph 52</w:t>
      </w:r>
      <w:r w:rsidR="00B14F24">
        <w:t>)</w:t>
      </w:r>
      <w:r>
        <w:t xml:space="preserve">. </w:t>
      </w:r>
      <w:r w:rsidR="001F1E15">
        <w:t>M</w:t>
      </w:r>
      <w:r w:rsidR="00383472">
        <w:t>anufacturer</w:t>
      </w:r>
      <w:r w:rsidR="001F1E15">
        <w:t>s</w:t>
      </w:r>
      <w:r w:rsidR="00383472">
        <w:t xml:space="preserve"> and distributor</w:t>
      </w:r>
      <w:r w:rsidR="001F1E15">
        <w:t>s</w:t>
      </w:r>
      <w:r w:rsidR="00383472">
        <w:t xml:space="preserve"> may cooperate in determining the target market. However, both manufacturer</w:t>
      </w:r>
      <w:r w:rsidR="001F1E15">
        <w:t>s</w:t>
      </w:r>
      <w:r w:rsidR="00383472">
        <w:t xml:space="preserve"> and distributor</w:t>
      </w:r>
      <w:r w:rsidR="001F1E15">
        <w:t>s</w:t>
      </w:r>
      <w:r w:rsidR="00383472">
        <w:t xml:space="preserve"> retain their responsibility for the obligations to identify a target market as described in MiFID II and the MiFID II Delegated Directive and further specified in the ESMA PG guidelines to identify a target market </w:t>
      </w:r>
      <w:r w:rsidR="00383472" w:rsidRPr="00383472">
        <w:t>(see</w:t>
      </w:r>
      <w:r w:rsidR="00383472">
        <w:t xml:space="preserve"> ESMA PG guidelines paragraph 39). Consequently, </w:t>
      </w:r>
      <w:r w:rsidR="00893D6E">
        <w:t xml:space="preserve">based on the position that the </w:t>
      </w:r>
      <w:r w:rsidR="00893D6E" w:rsidRPr="00893D6E">
        <w:t>manufacturer</w:t>
      </w:r>
      <w:r w:rsidR="00893D6E">
        <w:t>s</w:t>
      </w:r>
      <w:r w:rsidR="00893D6E" w:rsidRPr="00893D6E">
        <w:t xml:space="preserve"> retain their responsibility</w:t>
      </w:r>
      <w:r w:rsidR="00893D6E">
        <w:t>,</w:t>
      </w:r>
      <w:r w:rsidR="00893D6E" w:rsidRPr="00893D6E">
        <w:t xml:space="preserve"> </w:t>
      </w:r>
      <w:r w:rsidR="00D0503D">
        <w:t>it</w:t>
      </w:r>
      <w:r w:rsidR="00893D6E">
        <w:t xml:space="preserve"> does not seem to be</w:t>
      </w:r>
      <w:r w:rsidR="00D0503D">
        <w:t xml:space="preserve"> compliant to not establish a n</w:t>
      </w:r>
      <w:r w:rsidR="00237530">
        <w:t>egative target market (if any</w:t>
      </w:r>
      <w:r w:rsidR="00D0503D">
        <w:t>) by referring to the distributors</w:t>
      </w:r>
      <w:r w:rsidR="000333FC">
        <w:t>’</w:t>
      </w:r>
      <w:r w:rsidR="00D0503D">
        <w:t xml:space="preserve"> negative target market.</w:t>
      </w:r>
      <w:r w:rsidR="00383472">
        <w:t xml:space="preserve"> </w:t>
      </w:r>
    </w:p>
    <w:p w14:paraId="0AF67C5D" w14:textId="77777777" w:rsidR="00657FEC" w:rsidRDefault="00657FEC" w:rsidP="00657FEC">
      <w:pPr>
        <w:pStyle w:val="Fotnotstext"/>
      </w:pPr>
      <w:r>
        <w:t>The same criteria as applied when determining the target market should be used for the negative target market assessment. See ESMA PG guidelines paragraphs 67-74 and the SFSA’s decision memo p. 35. Further, it should be noted that the practice in the European equity market</w:t>
      </w:r>
      <w:r w:rsidR="00050375">
        <w:t xml:space="preserve"> (</w:t>
      </w:r>
      <w:proofErr w:type="gramStart"/>
      <w:r w:rsidR="00050375">
        <w:t>and also</w:t>
      </w:r>
      <w:proofErr w:type="gramEnd"/>
      <w:r w:rsidR="00050375">
        <w:t xml:space="preserve"> the position adopted by ICMA)</w:t>
      </w:r>
      <w:r>
        <w:t xml:space="preserve"> seems to be that a negative target market would be identified rarely or never. This view is supported by various financial market </w:t>
      </w:r>
      <w:r w:rsidR="00FD58FC">
        <w:t>associations which have emphasis</w:t>
      </w:r>
      <w:r>
        <w:t xml:space="preserve">ed that the nature and features of </w:t>
      </w:r>
      <w:r w:rsidR="001F1E15">
        <w:t xml:space="preserve">plain </w:t>
      </w:r>
      <w:r>
        <w:t>vanilla products (such as ordinary shares and bonds admitted to trading) and the PG proportionality regime provides for a possibility to avoid establish</w:t>
      </w:r>
      <w:r w:rsidR="00E510C4">
        <w:t>ing</w:t>
      </w:r>
      <w:r>
        <w:t xml:space="preserve"> a negative target market. </w:t>
      </w:r>
    </w:p>
  </w:footnote>
  <w:footnote w:id="4">
    <w:p w14:paraId="2D0DA5AC" w14:textId="77777777" w:rsidR="00EF1E00" w:rsidRPr="00EF1E00" w:rsidRDefault="00EF1E00" w:rsidP="00A13D97">
      <w:pPr>
        <w:pStyle w:val="Fotnotstext"/>
      </w:pPr>
      <w:r>
        <w:rPr>
          <w:rStyle w:val="Fotnotsreferens"/>
        </w:rPr>
        <w:footnoteRef/>
      </w:r>
      <w:r>
        <w:t xml:space="preserve"> The target market assessment is based on </w:t>
      </w:r>
      <w:r w:rsidR="001F1E15">
        <w:t xml:space="preserve">plain </w:t>
      </w:r>
      <w:r>
        <w:t xml:space="preserve">vanilla </w:t>
      </w:r>
      <w:r w:rsidR="001F1E15">
        <w:t xml:space="preserve">corporate </w:t>
      </w:r>
      <w:r>
        <w:t>bonds.</w:t>
      </w:r>
      <w:r w:rsidR="006A5B96">
        <w:t xml:space="preserve"> Generally, in order to avoid the risk of misinterpretations and misunderstandings, manufacturers should clearly define the concepts and terminology used when defining the target market</w:t>
      </w:r>
      <w:r w:rsidR="00A13D97">
        <w:t xml:space="preserve"> </w:t>
      </w:r>
      <w:r w:rsidR="00A13D97" w:rsidRPr="00A13D97">
        <w:t>(see E</w:t>
      </w:r>
      <w:r w:rsidR="00A13D97">
        <w:t>SMA PG guidelines paragraph 20).</w:t>
      </w:r>
      <w:r w:rsidR="000E2CA7">
        <w:t xml:space="preserve"> However, if there is common understanding of the concepts and </w:t>
      </w:r>
      <w:r w:rsidR="000E2CA7" w:rsidRPr="000E2CA7">
        <w:t>terminology</w:t>
      </w:r>
      <w:r w:rsidR="000E2CA7">
        <w:t xml:space="preserve"> </w:t>
      </w:r>
      <w:r w:rsidR="00893D6E">
        <w:t xml:space="preserve">communicated </w:t>
      </w:r>
      <w:r w:rsidR="000E2CA7">
        <w:t>between manufactures and</w:t>
      </w:r>
      <w:r w:rsidR="00F948F7">
        <w:t xml:space="preserve"> distributers, such additional descriptions and definitions c</w:t>
      </w:r>
      <w:r w:rsidR="001F1E15">
        <w:t>an</w:t>
      </w:r>
      <w:r w:rsidR="00F948F7">
        <w:t xml:space="preserve"> likely be limited.</w:t>
      </w:r>
      <w:r w:rsidR="00A13D97" w:rsidRPr="00A13D97">
        <w:t xml:space="preserve"> </w:t>
      </w:r>
      <w:r w:rsidR="00A13D97">
        <w:t xml:space="preserve">Language in items (b) and (d)–(e) assumes a common understanding/template defining the terminology, </w:t>
      </w:r>
      <w:r w:rsidR="00A13D97" w:rsidRPr="005051E9">
        <w:rPr>
          <w:i/>
        </w:rPr>
        <w:t>e.g.</w:t>
      </w:r>
      <w:r w:rsidR="00A13D97">
        <w:t xml:space="preserve"> European MiFID Template. Otherwise additional colour should be included in order to avoid </w:t>
      </w:r>
      <w:r w:rsidR="00A13D97" w:rsidRPr="00FE5195">
        <w:t>non-defined terminology.</w:t>
      </w:r>
    </w:p>
  </w:footnote>
  <w:footnote w:id="5">
    <w:p w14:paraId="7F997F90" w14:textId="77777777" w:rsidR="003445FD" w:rsidRPr="003445FD" w:rsidRDefault="003445FD">
      <w:pPr>
        <w:pStyle w:val="Fotnotstext"/>
      </w:pPr>
      <w:r>
        <w:rPr>
          <w:rStyle w:val="Fotnotsreferens"/>
        </w:rPr>
        <w:footnoteRef/>
      </w:r>
      <w:r>
        <w:t xml:space="preserve"> </w:t>
      </w:r>
      <w:r w:rsidR="00640D61" w:rsidRPr="00640D61">
        <w:t>The description should be as clear as possible and non-defined terminology should be avoided to facilitate each distributor’s unde</w:t>
      </w:r>
      <w:r w:rsidR="008D672F">
        <w:t xml:space="preserve">rstanding of the target market </w:t>
      </w:r>
      <w:r w:rsidR="00640D61" w:rsidRPr="00640D61">
        <w:t>(s</w:t>
      </w:r>
      <w:r w:rsidR="00640D61">
        <w:t>ee ESMA PG guidelines paragraph </w:t>
      </w:r>
      <w:r w:rsidR="00640D61" w:rsidRPr="00640D61">
        <w:t>20)</w:t>
      </w:r>
      <w:r>
        <w:t xml:space="preserve">. </w:t>
      </w:r>
    </w:p>
  </w:footnote>
  <w:footnote w:id="6">
    <w:p w14:paraId="3EBFAD7A" w14:textId="77777777" w:rsidR="00072483" w:rsidRPr="00072483" w:rsidRDefault="00072483">
      <w:pPr>
        <w:pStyle w:val="Fotnotstext"/>
      </w:pPr>
      <w:r>
        <w:rPr>
          <w:rStyle w:val="Fotnotsreferens"/>
        </w:rPr>
        <w:footnoteRef/>
      </w:r>
      <w:r>
        <w:t xml:space="preserve"> </w:t>
      </w:r>
      <w:r w:rsidRPr="00072483">
        <w:t xml:space="preserve">See </w:t>
      </w:r>
      <w:r>
        <w:t>ESMA PG guidelines paragraphs 13-20</w:t>
      </w:r>
      <w:r w:rsidRPr="00072483">
        <w:t xml:space="preserve"> and the SFSA’s decision memo p. 3</w:t>
      </w:r>
      <w:r>
        <w:t>3-3</w:t>
      </w:r>
      <w:r w:rsidR="00640D61">
        <w:t>5.</w:t>
      </w:r>
    </w:p>
  </w:footnote>
  <w:footnote w:id="7">
    <w:p w14:paraId="5A6EE607" w14:textId="77777777" w:rsidR="00072483" w:rsidRPr="00072483" w:rsidRDefault="00072483" w:rsidP="00072483">
      <w:pPr>
        <w:pStyle w:val="Fotnotstext"/>
      </w:pPr>
      <w:r>
        <w:rPr>
          <w:rStyle w:val="Fotnotsreferens"/>
        </w:rPr>
        <w:footnoteRef/>
      </w:r>
      <w:r>
        <w:t xml:space="preserve"> </w:t>
      </w:r>
      <w:r w:rsidRPr="00072483">
        <w:t>See ESMA PG guidelines paragraphs 13-20 and the</w:t>
      </w:r>
      <w:r w:rsidR="00640D61">
        <w:t xml:space="preserve"> SFSA’s decision memo p. 33-35.</w:t>
      </w:r>
    </w:p>
  </w:footnote>
  <w:footnote w:id="8">
    <w:p w14:paraId="6B7B8A09" w14:textId="77777777" w:rsidR="00072483" w:rsidRPr="00072483" w:rsidRDefault="00072483" w:rsidP="00072483">
      <w:pPr>
        <w:pStyle w:val="Fotnotstext"/>
      </w:pPr>
      <w:r>
        <w:rPr>
          <w:rStyle w:val="Fotnotsreferens"/>
        </w:rPr>
        <w:footnoteRef/>
      </w:r>
      <w:r>
        <w:t xml:space="preserve"> </w:t>
      </w:r>
      <w:r w:rsidRPr="00072483">
        <w:t>See ESMA PG guidelines paragraphs 13-20 and the</w:t>
      </w:r>
      <w:r w:rsidR="00640D61">
        <w:t xml:space="preserve"> SFSA’s decision memo p. 33-35.</w:t>
      </w:r>
    </w:p>
  </w:footnote>
  <w:footnote w:id="9">
    <w:p w14:paraId="7D6B5FE5" w14:textId="77777777" w:rsidR="00072483" w:rsidRPr="00072483" w:rsidRDefault="00072483" w:rsidP="00072483">
      <w:pPr>
        <w:pStyle w:val="Fotnotstext"/>
      </w:pPr>
      <w:r>
        <w:rPr>
          <w:rStyle w:val="Fotnotsreferens"/>
        </w:rPr>
        <w:footnoteRef/>
      </w:r>
      <w:r>
        <w:t xml:space="preserve"> </w:t>
      </w:r>
      <w:r w:rsidRPr="00072483">
        <w:t>See ESMA PG guidelines paragraphs 13-20 and the</w:t>
      </w:r>
      <w:r w:rsidR="00640D61">
        <w:t xml:space="preserve"> SFSA’s decision memo p. 33-35.</w:t>
      </w:r>
    </w:p>
  </w:footnote>
  <w:footnote w:id="10">
    <w:p w14:paraId="1B4AD24C" w14:textId="77777777" w:rsidR="008C7D30" w:rsidRPr="001A3B84" w:rsidRDefault="008C7D30" w:rsidP="008C7D30">
      <w:pPr>
        <w:pStyle w:val="Fotnotstext"/>
      </w:pPr>
      <w:r>
        <w:rPr>
          <w:rStyle w:val="Fotnotsreferens"/>
        </w:rPr>
        <w:footnoteRef/>
      </w:r>
      <w:r>
        <w:t xml:space="preserve"> </w:t>
      </w:r>
      <w:r w:rsidR="004B034A">
        <w:t>To be included i</w:t>
      </w:r>
      <w:r w:rsidR="004B034A" w:rsidRPr="004B034A">
        <w:t>f</w:t>
      </w:r>
      <w:r w:rsidR="004B034A">
        <w:t xml:space="preserve"> a</w:t>
      </w:r>
      <w:r w:rsidR="004B034A" w:rsidRPr="004B034A">
        <w:t xml:space="preserve"> PRIIPs K</w:t>
      </w:r>
      <w:r w:rsidR="00065F81">
        <w:t>I</w:t>
      </w:r>
      <w:r w:rsidR="004B034A" w:rsidRPr="004B034A">
        <w:t>ID has been prepared</w:t>
      </w:r>
      <w:r w:rsidR="004B034A">
        <w:t xml:space="preserve"> in respect of the [Notes]</w:t>
      </w:r>
      <w:r>
        <w:t>: “</w:t>
      </w:r>
      <w:r w:rsidRPr="00B22957">
        <w:rPr>
          <w:i/>
        </w:rPr>
        <w:t xml:space="preserve">The [Notes] carry the risk of [•] on a scale where 7 is the highest risk, as defined in </w:t>
      </w:r>
      <w:r w:rsidR="001231C0">
        <w:rPr>
          <w:i/>
        </w:rPr>
        <w:t>[</w:t>
      </w:r>
      <w:r w:rsidRPr="00B22957">
        <w:rPr>
          <w:i/>
        </w:rPr>
        <w:t>the Regulation (EU) No 1286/2014 (as amended the “</w:t>
      </w:r>
      <w:r w:rsidRPr="00B22957">
        <w:rPr>
          <w:b/>
          <w:i/>
        </w:rPr>
        <w:t>PRIIPs Regulation</w:t>
      </w:r>
      <w:r>
        <w:t>”)</w:t>
      </w:r>
      <w:r w:rsidR="005051E9">
        <w:t xml:space="preserve"> / PRII</w:t>
      </w:r>
      <w:r w:rsidR="001231C0">
        <w:t>Ps]</w:t>
      </w:r>
      <w:r>
        <w:t>.”.</w:t>
      </w:r>
    </w:p>
  </w:footnote>
  <w:footnote w:id="11">
    <w:p w14:paraId="20727C10" w14:textId="77777777" w:rsidR="00072483" w:rsidRPr="00072483" w:rsidRDefault="00072483" w:rsidP="00072483">
      <w:pPr>
        <w:pStyle w:val="Fotnotstext"/>
      </w:pPr>
      <w:r>
        <w:rPr>
          <w:rStyle w:val="Fotnotsreferens"/>
        </w:rPr>
        <w:footnoteRef/>
      </w:r>
      <w:r>
        <w:t xml:space="preserve"> </w:t>
      </w:r>
      <w:r w:rsidRPr="00072483">
        <w:t>See ESMA PG guidelines paragraphs 13-20 and the</w:t>
      </w:r>
      <w:r w:rsidR="00640D61">
        <w:t xml:space="preserve"> SFSA’s decision memo p. 33-35.</w:t>
      </w:r>
    </w:p>
  </w:footnote>
  <w:footnote w:id="12">
    <w:p w14:paraId="630E2C1B" w14:textId="77777777" w:rsidR="00134B7F" w:rsidRPr="00134B7F" w:rsidRDefault="00134B7F">
      <w:pPr>
        <w:pStyle w:val="Fotnotstext"/>
      </w:pPr>
      <w:r>
        <w:rPr>
          <w:rStyle w:val="Fotnotsreferens"/>
        </w:rPr>
        <w:footnoteRef/>
      </w:r>
      <w:r>
        <w:t xml:space="preserve"> </w:t>
      </w:r>
      <w:r w:rsidR="00640D61">
        <w:t>I</w:t>
      </w:r>
      <w:r>
        <w:t>nclude description about special investment purposes (if any), such as ethical or green investments</w:t>
      </w:r>
      <w:r w:rsidR="001106A1">
        <w:t xml:space="preserve"> (see the SFSA’s decision memo p.</w:t>
      </w:r>
      <w:r w:rsidR="00EE56DC">
        <w:t xml:space="preserve"> </w:t>
      </w:r>
      <w:r w:rsidR="001106A1">
        <w:t>34)</w:t>
      </w:r>
      <w:r>
        <w:t xml:space="preserve">. </w:t>
      </w:r>
    </w:p>
  </w:footnote>
  <w:footnote w:id="13">
    <w:p w14:paraId="31BEEDCA" w14:textId="77777777" w:rsidR="003818D3" w:rsidRPr="003818D3" w:rsidRDefault="003818D3">
      <w:pPr>
        <w:pStyle w:val="Fotnotstext"/>
      </w:pPr>
      <w:r>
        <w:rPr>
          <w:rStyle w:val="Fotnotsreferens"/>
        </w:rPr>
        <w:footnoteRef/>
      </w:r>
      <w:r>
        <w:t xml:space="preserve"> </w:t>
      </w:r>
      <w:r w:rsidR="001C083D">
        <w:t>See footnote 2. Language is based on “</w:t>
      </w:r>
      <w:r w:rsidR="001C083D" w:rsidRPr="001C083D">
        <w:rPr>
          <w:i/>
        </w:rPr>
        <w:t>Case study 4</w:t>
      </w:r>
      <w:r w:rsidR="001C083D">
        <w:t xml:space="preserve">” in </w:t>
      </w:r>
      <w:hyperlink r:id="rId1" w:history="1">
        <w:r w:rsidR="00EE01A1">
          <w:rPr>
            <w:rStyle w:val="Hyperlnk"/>
          </w:rPr>
          <w:t>ESMA</w:t>
        </w:r>
        <w:r w:rsidR="001C083D" w:rsidRPr="001C083D">
          <w:rPr>
            <w:rStyle w:val="Hyperlnk"/>
          </w:rPr>
          <w:t>’s Final Report on Guidelines on MiFID II product governance requirements</w:t>
        </w:r>
      </w:hyperlink>
      <w:r w:rsidR="00657FEC">
        <w:t xml:space="preserve"> which</w:t>
      </w:r>
      <w:r w:rsidR="00EE01A1">
        <w:t xml:space="preserve"> illustrate</w:t>
      </w:r>
      <w:r w:rsidR="00FD58FC">
        <w:t>s</w:t>
      </w:r>
      <w:r w:rsidR="00EE01A1">
        <w:t xml:space="preserve"> an assessment in respect of ordinary</w:t>
      </w:r>
      <w:r w:rsidR="00657FEC">
        <w:t xml:space="preserve"> shares</w:t>
      </w:r>
      <w:r w:rsidR="001C083D">
        <w:t xml:space="preserve">. </w:t>
      </w:r>
    </w:p>
  </w:footnote>
  <w:footnote w:id="14">
    <w:p w14:paraId="04B51A08" w14:textId="77777777" w:rsidR="006F3F7B" w:rsidRDefault="006F3F7B" w:rsidP="00933FA0">
      <w:pPr>
        <w:pStyle w:val="Fotnotstext"/>
        <w:rPr>
          <w:rFonts w:ascii="Calibri" w:hAnsi="Calibri"/>
          <w:szCs w:val="16"/>
        </w:rPr>
      </w:pPr>
      <w:r>
        <w:rPr>
          <w:rStyle w:val="Fotnotsreferens"/>
          <w:rFonts w:ascii="Calibri" w:hAnsi="Calibri"/>
          <w:szCs w:val="16"/>
        </w:rPr>
        <w:footnoteRef/>
      </w:r>
      <w:r>
        <w:rPr>
          <w:szCs w:val="16"/>
        </w:rPr>
        <w:t xml:space="preserve"> Include for bonds that are not ESMA complex</w:t>
      </w:r>
      <w:r w:rsidR="00102B9C">
        <w:rPr>
          <w:szCs w:val="16"/>
        </w:rPr>
        <w:t xml:space="preserve"> (</w:t>
      </w:r>
      <w:r w:rsidR="0003710A">
        <w:rPr>
          <w:szCs w:val="16"/>
        </w:rPr>
        <w:t>ESMA complex instruments are e</w:t>
      </w:r>
      <w:r w:rsidR="00102B9C">
        <w:rPr>
          <w:szCs w:val="16"/>
        </w:rPr>
        <w:t>.g. debt instruments embedding</w:t>
      </w:r>
      <w:r w:rsidR="00102B9C" w:rsidRPr="00102B9C">
        <w:rPr>
          <w:szCs w:val="16"/>
        </w:rPr>
        <w:t xml:space="preserve"> derivative</w:t>
      </w:r>
      <w:r w:rsidR="00102B9C">
        <w:rPr>
          <w:szCs w:val="16"/>
        </w:rPr>
        <w:t>s</w:t>
      </w:r>
      <w:r w:rsidR="00CD27F7">
        <w:rPr>
          <w:szCs w:val="16"/>
        </w:rPr>
        <w:t>, such as c</w:t>
      </w:r>
      <w:r w:rsidR="00CD27F7" w:rsidRPr="00CD27F7">
        <w:rPr>
          <w:szCs w:val="16"/>
        </w:rPr>
        <w:t>onvertible and exchangeable bonds</w:t>
      </w:r>
      <w:r w:rsidR="00CD27F7">
        <w:rPr>
          <w:szCs w:val="16"/>
        </w:rPr>
        <w:t>,</w:t>
      </w:r>
      <w:r w:rsidR="00102B9C">
        <w:rPr>
          <w:szCs w:val="16"/>
        </w:rPr>
        <w:t xml:space="preserve"> or</w:t>
      </w:r>
      <w:r w:rsidR="00102B9C" w:rsidRPr="00102B9C">
        <w:rPr>
          <w:sz w:val="22"/>
          <w:szCs w:val="24"/>
        </w:rPr>
        <w:t xml:space="preserve"> </w:t>
      </w:r>
      <w:r w:rsidR="00102B9C">
        <w:rPr>
          <w:szCs w:val="16"/>
        </w:rPr>
        <w:t>d</w:t>
      </w:r>
      <w:r w:rsidR="00102B9C" w:rsidRPr="00102B9C">
        <w:rPr>
          <w:szCs w:val="16"/>
        </w:rPr>
        <w:t>ebt instruments incorporating a structure making it difficult for the client to understand the risk</w:t>
      </w:r>
      <w:r w:rsidR="00102B9C">
        <w:rPr>
          <w:szCs w:val="16"/>
        </w:rPr>
        <w:t xml:space="preserve">, such as </w:t>
      </w:r>
      <w:r w:rsidR="00CD27F7">
        <w:rPr>
          <w:szCs w:val="16"/>
        </w:rPr>
        <w:t>instruments</w:t>
      </w:r>
      <w:r w:rsidR="00102B9C">
        <w:rPr>
          <w:szCs w:val="16"/>
        </w:rPr>
        <w:t xml:space="preserve"> where the return </w:t>
      </w:r>
      <w:r w:rsidR="00102B9C" w:rsidRPr="00102B9C">
        <w:rPr>
          <w:szCs w:val="16"/>
        </w:rPr>
        <w:t>is dependent on the performance of a defined asset pool</w:t>
      </w:r>
      <w:r w:rsidR="00102B9C">
        <w:rPr>
          <w:szCs w:val="16"/>
        </w:rPr>
        <w:t xml:space="preserve"> or </w:t>
      </w:r>
      <w:r w:rsidR="00884AF8">
        <w:rPr>
          <w:szCs w:val="16"/>
        </w:rPr>
        <w:t>that contain</w:t>
      </w:r>
      <w:r w:rsidR="00102B9C">
        <w:rPr>
          <w:szCs w:val="16"/>
        </w:rPr>
        <w:t xml:space="preserve"> </w:t>
      </w:r>
      <w:r w:rsidR="00102B9C" w:rsidRPr="00102B9C">
        <w:rPr>
          <w:szCs w:val="16"/>
        </w:rPr>
        <w:t>leverage features</w:t>
      </w:r>
      <w:r w:rsidR="00102B9C">
        <w:rPr>
          <w:szCs w:val="16"/>
        </w:rPr>
        <w:t>). See ESMA</w:t>
      </w:r>
      <w:r w:rsidR="00657FEC">
        <w:rPr>
          <w:szCs w:val="16"/>
        </w:rPr>
        <w:t xml:space="preserve"> PG</w:t>
      </w:r>
      <w:r w:rsidR="00102B9C">
        <w:rPr>
          <w:szCs w:val="16"/>
        </w:rPr>
        <w:t xml:space="preserve"> </w:t>
      </w:r>
      <w:r w:rsidR="00657FEC">
        <w:rPr>
          <w:szCs w:val="16"/>
        </w:rPr>
        <w:t>g</w:t>
      </w:r>
      <w:r w:rsidR="00102B9C" w:rsidRPr="00102B9C">
        <w:rPr>
          <w:szCs w:val="16"/>
        </w:rPr>
        <w:t>uidelines on complex debt instruments and structured deposits</w:t>
      </w:r>
      <w:r w:rsidR="00102B9C">
        <w:rPr>
          <w:szCs w:val="16"/>
        </w:rPr>
        <w:t xml:space="preserve"> for addition guidance.</w:t>
      </w:r>
    </w:p>
  </w:footnote>
  <w:footnote w:id="15">
    <w:p w14:paraId="32B44880" w14:textId="77777777" w:rsidR="006F3F7B" w:rsidRDefault="006F3F7B" w:rsidP="00933FA0">
      <w:pPr>
        <w:pStyle w:val="Fotnotstext"/>
        <w:rPr>
          <w:szCs w:val="16"/>
        </w:rPr>
      </w:pPr>
      <w:r>
        <w:rPr>
          <w:rStyle w:val="Fotnotsreferens"/>
          <w:rFonts w:ascii="Calibri" w:hAnsi="Calibri"/>
          <w:szCs w:val="16"/>
        </w:rPr>
        <w:footnoteRef/>
      </w:r>
      <w:r>
        <w:rPr>
          <w:szCs w:val="16"/>
        </w:rPr>
        <w:t xml:space="preserve"> This list may not be necessary, especially for bonds that are not ESMA complex where all channels of distribution may be appropriate. It reflects the list used in the examples in the ESMA</w:t>
      </w:r>
      <w:r w:rsidR="00657FEC">
        <w:rPr>
          <w:szCs w:val="16"/>
        </w:rPr>
        <w:t xml:space="preserve"> PG g</w:t>
      </w:r>
      <w:r>
        <w:rPr>
          <w:szCs w:val="16"/>
        </w:rPr>
        <w:t>uidelines.</w:t>
      </w:r>
    </w:p>
  </w:footnote>
  <w:footnote w:id="16">
    <w:p w14:paraId="494E14B1" w14:textId="77777777" w:rsidR="006F3F7B" w:rsidRDefault="006F3F7B" w:rsidP="00933FA0">
      <w:pPr>
        <w:pStyle w:val="Fotnotstext"/>
        <w:rPr>
          <w:szCs w:val="16"/>
        </w:rPr>
      </w:pPr>
      <w:r>
        <w:rPr>
          <w:rStyle w:val="Fotnotsreferens"/>
          <w:rFonts w:ascii="Calibri" w:hAnsi="Calibri"/>
          <w:szCs w:val="16"/>
        </w:rPr>
        <w:footnoteRef/>
      </w:r>
      <w:r>
        <w:rPr>
          <w:szCs w:val="16"/>
        </w:rPr>
        <w:t xml:space="preserve"> Include for certain ESMA complex bonds. </w:t>
      </w:r>
      <w:r w:rsidRPr="00FC0645">
        <w:t xml:space="preserve">This list may need to be amended, for example, if </w:t>
      </w:r>
      <w:r>
        <w:t xml:space="preserve">advised sales are deemed necessary. </w:t>
      </w:r>
      <w:r w:rsidRPr="00B71889">
        <w:t>If there are advised sales, a determination of suitability will be necessary.</w:t>
      </w:r>
      <w:r w:rsidR="005F0D8B">
        <w:t xml:space="preserve"> In addition, if the instruments</w:t>
      </w:r>
      <w:r>
        <w:t xml:space="preserve"> </w:t>
      </w:r>
      <w:r w:rsidRPr="00FC0645">
        <w:t>constitute “complex” products</w:t>
      </w:r>
      <w:r>
        <w:t>,</w:t>
      </w:r>
      <w:r w:rsidRPr="00FC0645">
        <w:t xml:space="preserve"> pure execution ser</w:t>
      </w:r>
      <w:r>
        <w:t>vices</w:t>
      </w:r>
      <w:r w:rsidRPr="00FC0645">
        <w:t xml:space="preserve"> are not permitted </w:t>
      </w:r>
      <w:r>
        <w:t>to retail</w:t>
      </w:r>
      <w:r w:rsidR="00884AF8">
        <w:t xml:space="preserve"> clients</w:t>
      </w:r>
      <w:r>
        <w:t xml:space="preserve"> </w:t>
      </w:r>
      <w:r w:rsidRPr="00FC0645">
        <w:t>without the need to make the determination of appropriateness required under Article 25(3) of MiFID II.</w:t>
      </w:r>
    </w:p>
  </w:footnote>
  <w:footnote w:id="17">
    <w:p w14:paraId="537C9AFF" w14:textId="77777777" w:rsidR="006F3F7B" w:rsidRDefault="006F3F7B" w:rsidP="00933FA0">
      <w:pPr>
        <w:pStyle w:val="Fotnotstext"/>
        <w:spacing w:after="80"/>
      </w:pPr>
      <w:r>
        <w:rPr>
          <w:rStyle w:val="Fotnotsreferens"/>
        </w:rPr>
        <w:footnoteRef/>
      </w:r>
      <w:r w:rsidR="005F0D8B">
        <w:t xml:space="preserve"> If the instruments</w:t>
      </w:r>
      <w:r>
        <w:t xml:space="preserve"> </w:t>
      </w:r>
      <w:r w:rsidRPr="00FC0645">
        <w:t>constitute “complex” products</w:t>
      </w:r>
      <w:r>
        <w:t>,</w:t>
      </w:r>
      <w:r w:rsidRPr="00FC0645">
        <w:t xml:space="preserve"> pure execution ser</w:t>
      </w:r>
      <w:r>
        <w:t>vices</w:t>
      </w:r>
      <w:r w:rsidRPr="00FC0645">
        <w:t xml:space="preserve"> are not permitted </w:t>
      </w:r>
      <w:r>
        <w:t xml:space="preserve">to retail </w:t>
      </w:r>
      <w:r w:rsidRPr="00FC0645">
        <w:t>without the need to make the determination of appropriateness required under Article 25(3) of MiFID II.</w:t>
      </w:r>
      <w:r>
        <w:t xml:space="preserve"> If there are advised sales, a determination of suitability will be necessary.</w:t>
      </w:r>
    </w:p>
  </w:footnote>
  <w:footnote w:id="18">
    <w:p w14:paraId="6E531A86" w14:textId="77777777" w:rsidR="00CE346C" w:rsidRPr="000333FC" w:rsidRDefault="00CE346C" w:rsidP="00CE346C">
      <w:pPr>
        <w:pStyle w:val="Fotnotstext"/>
      </w:pPr>
      <w:r>
        <w:rPr>
          <w:rStyle w:val="Fotnotsreferens"/>
        </w:rPr>
        <w:footnoteRef/>
      </w:r>
      <w:r>
        <w:t xml:space="preserve"> Assessment to be made</w:t>
      </w:r>
      <w:r w:rsidRPr="00A25466">
        <w:t xml:space="preserve"> in relation to each issue whether the entities involved are creating, developing, designing or issuing the financial instrument, and, in relation to a non-MiFID entity, advising the issuer in respect of the issue. </w:t>
      </w:r>
    </w:p>
  </w:footnote>
  <w:footnote w:id="19">
    <w:p w14:paraId="052D8A7C" w14:textId="77777777" w:rsidR="00F33E6C" w:rsidRPr="00EF1A33" w:rsidRDefault="00F33E6C" w:rsidP="00EF1A33">
      <w:pPr>
        <w:pStyle w:val="Fotnotstext"/>
      </w:pPr>
      <w:r>
        <w:rPr>
          <w:rStyle w:val="Fotnotsreferens"/>
        </w:rPr>
        <w:footnoteRef/>
      </w:r>
      <w:r>
        <w:t xml:space="preserve"> </w:t>
      </w:r>
      <w:r w:rsidR="00915CD1">
        <w:t>Should information on sales be required, c</w:t>
      </w:r>
      <w:r>
        <w:t>onsider including</w:t>
      </w:r>
      <w:r w:rsidR="00EF1A33">
        <w:t>: “</w:t>
      </w:r>
      <w:r w:rsidR="00EF1A33" w:rsidRPr="00EF1A33">
        <w:rPr>
          <w:i/>
        </w:rPr>
        <w:t>Any Arranger, Dealer or any of their respective affiliates that offers, recommends or sells the [Notes] in connection with the issuance of the [Notes] shall provide the Manufacturer[s] with appropriate information on sales</w:t>
      </w:r>
      <w:r w:rsidR="00151471">
        <w:rPr>
          <w:i/>
        </w:rPr>
        <w:t>, including information on sales</w:t>
      </w:r>
      <w:r w:rsidR="00EF1A33" w:rsidRPr="00EF1A33">
        <w:rPr>
          <w:i/>
        </w:rPr>
        <w:t xml:space="preserve"> outside the target market as defined by the Manufacturer[s], save for sales made for diversification or hedging purposes, provided these diversification- or hedging-related sales are not conducted on the negative target market.</w:t>
      </w:r>
      <w:r w:rsidR="00EF1A33">
        <w:t>”</w:t>
      </w:r>
      <w:r w:rsidR="00775946">
        <w:t>.</w:t>
      </w:r>
    </w:p>
  </w:footnote>
  <w:footnote w:id="20">
    <w:p w14:paraId="3F2657A4" w14:textId="77777777" w:rsidR="00E46F9E" w:rsidRPr="00AE4465" w:rsidRDefault="00E46F9E" w:rsidP="00EE18C5">
      <w:pPr>
        <w:pStyle w:val="Fotnotstext"/>
      </w:pPr>
      <w:r>
        <w:rPr>
          <w:rStyle w:val="Fotnotsreferens"/>
        </w:rPr>
        <w:footnoteRef/>
      </w:r>
      <w:r w:rsidR="006A72C1" w:rsidRPr="006A72C1">
        <w:t xml:space="preserve"> </w:t>
      </w:r>
      <w:r w:rsidR="00AE4465">
        <w:t>S</w:t>
      </w:r>
      <w:r w:rsidR="006D492E" w:rsidRPr="006A72C1">
        <w:t>ection</w:t>
      </w:r>
      <w:r w:rsidR="006A72C1">
        <w:t>s</w:t>
      </w:r>
      <w:r w:rsidR="006D492E" w:rsidRPr="006A72C1">
        <w:t xml:space="preserve"> 2.1 </w:t>
      </w:r>
      <w:r w:rsidR="006A72C1" w:rsidRPr="006A72C1">
        <w:t>and</w:t>
      </w:r>
      <w:r w:rsidR="006D492E" w:rsidRPr="006A72C1">
        <w:t xml:space="preserve"> 2.2 </w:t>
      </w:r>
      <w:r w:rsidR="006A72C1" w:rsidRPr="006A72C1">
        <w:t>address</w:t>
      </w:r>
      <w:r w:rsidR="006D492E" w:rsidRPr="006A72C1">
        <w:t xml:space="preserve"> the </w:t>
      </w:r>
      <w:r w:rsidR="006A72C1">
        <w:t>si</w:t>
      </w:r>
      <w:r w:rsidR="002E6F75">
        <w:t>tuation where the [Notes]</w:t>
      </w:r>
      <w:r w:rsidR="006A72C1">
        <w:t xml:space="preserve"> constitute or possibly could constitute a PRIIP </w:t>
      </w:r>
      <w:proofErr w:type="gramStart"/>
      <w:r w:rsidR="006A72C1">
        <w:t>product,</w:t>
      </w:r>
      <w:r w:rsidR="00C503A5">
        <w:t xml:space="preserve"> </w:t>
      </w:r>
      <w:r w:rsidR="006A72C1">
        <w:t>but</w:t>
      </w:r>
      <w:proofErr w:type="gramEnd"/>
      <w:r w:rsidR="006A72C1">
        <w:t xml:space="preserve"> explain </w:t>
      </w:r>
      <w:r w:rsidR="00AE4465">
        <w:t>the reasons for</w:t>
      </w:r>
      <w:r w:rsidR="006A72C1">
        <w:t xml:space="preserve"> the [Notes] not</w:t>
      </w:r>
      <w:r w:rsidR="00AE4465">
        <w:t xml:space="preserve"> being </w:t>
      </w:r>
      <w:r w:rsidR="00EE18C5">
        <w:t>offered to retail</w:t>
      </w:r>
      <w:r w:rsidR="006A72C1">
        <w:t xml:space="preserve"> clients differently. </w:t>
      </w:r>
      <w:r w:rsidR="00C13DC0">
        <w:t>S</w:t>
      </w:r>
      <w:r w:rsidR="006A72C1">
        <w:t>ection 2.1 is prepared for</w:t>
      </w:r>
      <w:r w:rsidR="00C13DC0">
        <w:t xml:space="preserve"> </w:t>
      </w:r>
      <w:r w:rsidR="00EE18C5">
        <w:t>the situation</w:t>
      </w:r>
      <w:r w:rsidR="00C13DC0">
        <w:t xml:space="preserve"> where the final terms of the [Notes] are known and</w:t>
      </w:r>
      <w:r w:rsidR="006A72C1">
        <w:t xml:space="preserve"> section 2.2</w:t>
      </w:r>
      <w:r w:rsidR="00EE18C5">
        <w:t xml:space="preserve"> is prepared for the situation</w:t>
      </w:r>
      <w:r w:rsidR="00C13DC0">
        <w:t xml:space="preserve"> where the final terms are unknown.</w:t>
      </w:r>
      <w:r w:rsidR="00EE18C5">
        <w:t xml:space="preserve"> </w:t>
      </w:r>
    </w:p>
  </w:footnote>
  <w:footnote w:id="21">
    <w:p w14:paraId="3CFD08F1" w14:textId="77777777" w:rsidR="003E0422" w:rsidRPr="003E0422" w:rsidRDefault="003E0422">
      <w:pPr>
        <w:pStyle w:val="Fotnotstext"/>
      </w:pPr>
      <w:r>
        <w:rPr>
          <w:rStyle w:val="Fotnotsreferens"/>
        </w:rPr>
        <w:footnoteRef/>
      </w:r>
      <w:r>
        <w:t xml:space="preserve"> </w:t>
      </w:r>
      <w:r w:rsidR="00497D80">
        <w:t>To be deleted</w:t>
      </w:r>
      <w:r w:rsidRPr="003E0422">
        <w:t xml:space="preserve"> if the product </w:t>
      </w:r>
      <w:r w:rsidR="00CE346C">
        <w:t>is considered not</w:t>
      </w:r>
      <w:r w:rsidR="00C37785">
        <w:t xml:space="preserve"> to</w:t>
      </w:r>
      <w:r w:rsidR="00775946">
        <w:t xml:space="preserve"> constitut</w:t>
      </w:r>
      <w:r w:rsidR="00C37785">
        <w:t>e</w:t>
      </w:r>
      <w:r w:rsidR="00775946">
        <w:t xml:space="preserve"> a PRIIP</w:t>
      </w:r>
      <w:r>
        <w:t xml:space="preserve"> product.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876B1" w14:textId="77777777" w:rsidR="007127D3" w:rsidRDefault="007127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3735E" w14:textId="77777777" w:rsidR="006F3F7B" w:rsidRPr="00F30DA7" w:rsidRDefault="006F3F7B" w:rsidP="00692D83">
    <w:pPr>
      <w:pStyle w:val="Sidhuvud"/>
    </w:pPr>
    <w:r>
      <w:tab/>
    </w:r>
    <w:r>
      <w:fldChar w:fldCharType="begin"/>
    </w:r>
    <w:r w:rsidRPr="00AD6A91">
      <w:instrText xml:space="preserve"> docVariable "</w:instrText>
    </w:r>
    <w:r>
      <w:instrText>specialDraft</w:instrText>
    </w:r>
    <w:r w:rsidRPr="00AD6A91">
      <w:instrText xml:space="preserve">Date" </w:instrText>
    </w:r>
    <w:r>
      <w:fldChar w:fldCharType="separate"/>
    </w:r>
    <w:r w:rsidR="00C503A5">
      <w:t>1</w:t>
    </w:r>
    <w:r w:rsidR="007127D3">
      <w:t>1</w:t>
    </w:r>
    <w:r w:rsidR="00E13F48">
      <w:t xml:space="preserve"> July 2018</w:t>
    </w:r>
    <w:r>
      <w:fldChar w:fldCharType="end"/>
    </w:r>
    <w:r>
      <w:tab/>
    </w:r>
    <w:r>
      <w:rPr>
        <w:rStyle w:val="Sidnummer"/>
      </w:rPr>
      <w:fldChar w:fldCharType="begin"/>
    </w:r>
    <w:r>
      <w:rPr>
        <w:rStyle w:val="Sidnummer"/>
      </w:rPr>
      <w:instrText xml:space="preserve"> PAGE </w:instrText>
    </w:r>
    <w:r>
      <w:rPr>
        <w:rStyle w:val="Sidnummer"/>
      </w:rPr>
      <w:fldChar w:fldCharType="separate"/>
    </w:r>
    <w:r w:rsidR="00C85536">
      <w:rPr>
        <w:rStyle w:val="Sidnummer"/>
        <w:noProof/>
      </w:rPr>
      <w:t>6</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C85536">
      <w:rPr>
        <w:rStyle w:val="Sidnummer"/>
        <w:noProof/>
      </w:rPr>
      <w:t>6</w:t>
    </w:r>
    <w:r>
      <w:rPr>
        <w:rStyle w:val="Sidnummer"/>
      </w:rPr>
      <w:fldChar w:fldCharType="end"/>
    </w:r>
    <w:r>
      <w:rPr>
        <w:rStyle w:val="Sidnummer"/>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4CED5" w14:textId="77777777" w:rsidR="009C2AFE" w:rsidRDefault="009C2AFE" w:rsidP="00DD041A">
    <w:pPr>
      <w:spacing w:before="200" w:after="200" w:line="288" w:lineRule="auto"/>
      <w:jc w:val="center"/>
      <w:rPr>
        <w:b/>
        <w:bCs/>
        <w:sz w:val="16"/>
        <w:highlight w:val="yellow"/>
      </w:rPr>
    </w:pPr>
    <w:bookmarkStart w:id="1" w:name="logotype"/>
  </w:p>
  <w:p w14:paraId="1D6FC328" w14:textId="77777777" w:rsidR="009C2AFE" w:rsidRPr="00CF0F6B" w:rsidRDefault="009C2AFE" w:rsidP="009C2AFE">
    <w:pPr>
      <w:spacing w:after="0"/>
      <w:jc w:val="center"/>
      <w:rPr>
        <w:rFonts w:asciiTheme="majorHAnsi" w:eastAsia="SimSun" w:hAnsiTheme="majorHAnsi" w:cstheme="majorHAnsi"/>
        <w:sz w:val="36"/>
        <w:szCs w:val="36"/>
        <w:lang w:val="en-US" w:eastAsia="zh-CN"/>
      </w:rPr>
    </w:pPr>
    <w:r w:rsidRPr="00CF0F6B">
      <w:rPr>
        <w:rFonts w:asciiTheme="majorHAnsi" w:eastAsia="SimSun" w:hAnsiTheme="majorHAnsi" w:cstheme="majorHAnsi"/>
        <w:sz w:val="36"/>
        <w:szCs w:val="36"/>
        <w:lang w:val="en-US" w:eastAsia="zh-CN"/>
      </w:rPr>
      <w:t>S</w:t>
    </w:r>
    <w:r w:rsidRPr="00CF0F6B">
      <w:rPr>
        <w:rFonts w:asciiTheme="majorHAnsi" w:eastAsia="SimSun" w:hAnsiTheme="majorHAnsi" w:cstheme="majorHAnsi"/>
        <w:sz w:val="28"/>
        <w:szCs w:val="28"/>
        <w:lang w:val="en-US" w:eastAsia="zh-CN"/>
      </w:rPr>
      <w:t>WEDIS</w:t>
    </w:r>
    <w:r w:rsidRPr="00CF0F6B">
      <w:rPr>
        <w:rFonts w:asciiTheme="majorHAnsi" w:eastAsia="SimSun" w:hAnsiTheme="majorHAnsi" w:cstheme="majorHAnsi"/>
        <w:sz w:val="36"/>
        <w:szCs w:val="36"/>
        <w:lang w:val="en-US" w:eastAsia="zh-CN"/>
      </w:rPr>
      <w:t>H</w:t>
    </w:r>
  </w:p>
  <w:p w14:paraId="639EA015" w14:textId="77777777" w:rsidR="009C2AFE" w:rsidRPr="00CF0F6B" w:rsidRDefault="009C2AFE" w:rsidP="009C2AFE">
    <w:pPr>
      <w:spacing w:after="0"/>
      <w:jc w:val="center"/>
      <w:rPr>
        <w:rFonts w:asciiTheme="majorHAnsi" w:eastAsia="SimSun" w:hAnsiTheme="majorHAnsi" w:cstheme="majorHAnsi"/>
        <w:sz w:val="36"/>
        <w:szCs w:val="36"/>
        <w:lang w:val="en-US" w:eastAsia="zh-CN"/>
      </w:rPr>
    </w:pPr>
    <w:r w:rsidRPr="00CF0F6B">
      <w:rPr>
        <w:rFonts w:asciiTheme="majorHAnsi" w:eastAsia="SimSun" w:hAnsiTheme="majorHAnsi" w:cstheme="majorHAnsi"/>
        <w:sz w:val="36"/>
        <w:szCs w:val="36"/>
        <w:lang w:val="en-US" w:eastAsia="zh-CN"/>
      </w:rPr>
      <w:t>S</w:t>
    </w:r>
    <w:r w:rsidRPr="00CF0F6B">
      <w:rPr>
        <w:rFonts w:asciiTheme="majorHAnsi" w:eastAsia="SimSun" w:hAnsiTheme="majorHAnsi" w:cstheme="majorHAnsi"/>
        <w:sz w:val="28"/>
        <w:szCs w:val="28"/>
        <w:lang w:val="en-US" w:eastAsia="zh-CN"/>
      </w:rPr>
      <w:t>ECURITIES DEALER</w:t>
    </w:r>
    <w:r w:rsidRPr="00CF0F6B">
      <w:rPr>
        <w:rFonts w:asciiTheme="majorHAnsi" w:eastAsia="SimSun" w:hAnsiTheme="majorHAnsi" w:cstheme="majorHAnsi"/>
        <w:sz w:val="36"/>
        <w:szCs w:val="36"/>
        <w:lang w:val="en-US" w:eastAsia="zh-CN"/>
      </w:rPr>
      <w:t>S</w:t>
    </w:r>
  </w:p>
  <w:p w14:paraId="57703B91" w14:textId="77777777" w:rsidR="006F3F7B" w:rsidRPr="009C2AFE" w:rsidRDefault="009C2AFE" w:rsidP="009C2AFE">
    <w:pPr>
      <w:spacing w:after="0" w:line="360" w:lineRule="auto"/>
      <w:jc w:val="center"/>
      <w:rPr>
        <w:rFonts w:asciiTheme="majorHAnsi" w:hAnsiTheme="majorHAnsi" w:cstheme="majorHAnsi"/>
      </w:rPr>
    </w:pPr>
    <w:r w:rsidRPr="00CF0F6B">
      <w:rPr>
        <w:rFonts w:asciiTheme="majorHAnsi" w:eastAsia="SimSun" w:hAnsiTheme="majorHAnsi" w:cstheme="majorHAnsi"/>
        <w:sz w:val="36"/>
        <w:szCs w:val="36"/>
        <w:lang w:val="en-US" w:eastAsia="en-US"/>
      </w:rPr>
      <w:t>A</w:t>
    </w:r>
    <w:r w:rsidRPr="00CF0F6B">
      <w:rPr>
        <w:rFonts w:asciiTheme="majorHAnsi" w:eastAsia="SimSun" w:hAnsiTheme="majorHAnsi" w:cstheme="majorHAnsi"/>
        <w:sz w:val="28"/>
        <w:szCs w:val="28"/>
        <w:lang w:val="en-US" w:eastAsia="en-US"/>
      </w:rPr>
      <w:t>SSOCIATIO</w:t>
    </w:r>
    <w:r w:rsidRPr="00CF0F6B">
      <w:rPr>
        <w:rFonts w:asciiTheme="majorHAnsi" w:eastAsia="SimSun" w:hAnsiTheme="majorHAnsi" w:cstheme="majorHAnsi"/>
        <w:sz w:val="36"/>
        <w:szCs w:val="36"/>
        <w:lang w:val="en-US" w:eastAsia="en-US"/>
      </w:rPr>
      <w:t>N</w:t>
    </w:r>
    <w:r>
      <w:rPr>
        <w:rFonts w:asciiTheme="majorHAnsi" w:hAnsiTheme="majorHAnsi" w:cstheme="majorHAnsi"/>
      </w:rPr>
      <w:br/>
    </w:r>
    <w:r w:rsidR="00DD041A">
      <w:rPr>
        <w:b/>
        <w:bCs/>
        <w:sz w:val="16"/>
        <w:highlight w:val="yellow"/>
      </w:rPr>
      <w:br/>
    </w:r>
    <w:r w:rsidR="00DD041A" w:rsidRPr="002625BD">
      <w:rPr>
        <w:b/>
        <w:bCs/>
        <w:sz w:val="20"/>
        <w:szCs w:val="20"/>
      </w:rPr>
      <w:br/>
    </w:r>
    <w:r w:rsidR="00DD041A" w:rsidRPr="00A350D3">
      <w:rPr>
        <w:b/>
        <w:sz w:val="20"/>
        <w:szCs w:val="20"/>
      </w:rPr>
      <w:t>[</w:t>
    </w:r>
    <w:r w:rsidR="00380824">
      <w:rPr>
        <w:b/>
        <w:sz w:val="20"/>
        <w:szCs w:val="20"/>
      </w:rPr>
      <w:t>Subject to the disclaimer set out on page 6, t</w:t>
    </w:r>
    <w:r w:rsidR="00DD041A" w:rsidRPr="00A350D3">
      <w:rPr>
        <w:b/>
        <w:sz w:val="20"/>
        <w:szCs w:val="20"/>
      </w:rPr>
      <w:t>he Swedish Securities Dealers Association consents to the use and reproduction of this document for issuances of debt securities. The Association does not consent to the use, reproduction, distribution or communication to the public of this document for any other purpose, in any other manner and expressly reserves all other rights.</w:t>
    </w:r>
    <w:r w:rsidR="0035485F" w:rsidRPr="00A350D3">
      <w:rPr>
        <w:b/>
        <w:sz w:val="20"/>
        <w:szCs w:val="20"/>
      </w:rPr>
      <w:t>]</w:t>
    </w:r>
    <w:r>
      <w:rPr>
        <w:b/>
        <w:sz w:val="16"/>
        <w:highlight w:val="yellow"/>
      </w:rPr>
      <w:br/>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DE7F1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0628D7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EFC28BE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8C10ED8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44B8AD3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C4F5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E012C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22479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58418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FC6C5D9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0F37ADE"/>
    <w:multiLevelType w:val="multilevel"/>
    <w:tmpl w:val="C8BA0E82"/>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1" w15:restartNumberingAfterBreak="0">
    <w:nsid w:val="28976652"/>
    <w:multiLevelType w:val="multilevel"/>
    <w:tmpl w:val="38A458B2"/>
    <w:lvl w:ilvl="0">
      <w:start w:val="1"/>
      <w:numFmt w:val="bullet"/>
      <w:pStyle w:val="ListAlt7"/>
      <w:lvlText w:val=""/>
      <w:lvlJc w:val="left"/>
      <w:pPr>
        <w:tabs>
          <w:tab w:val="num" w:pos="1009"/>
        </w:tabs>
        <w:ind w:left="1009" w:hanging="578"/>
      </w:pPr>
      <w:rPr>
        <w:rFonts w:ascii="Symbol" w:hAnsi="Symbol" w:hint="default"/>
      </w:rPr>
    </w:lvl>
    <w:lvl w:ilvl="1">
      <w:start w:val="1"/>
      <w:numFmt w:val="bullet"/>
      <w:pStyle w:val="List-sublist"/>
      <w:lvlText w:val=""/>
      <w:lvlJc w:val="left"/>
      <w:pPr>
        <w:ind w:left="1588" w:hanging="579"/>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A675B1"/>
    <w:multiLevelType w:val="hybridMultilevel"/>
    <w:tmpl w:val="91B65918"/>
    <w:lvl w:ilvl="0" w:tplc="27041AF4">
      <w:start w:val="1"/>
      <w:numFmt w:val="decimal"/>
      <w:pStyle w:val="List1Alt6"/>
      <w:lvlText w:val="%1."/>
      <w:lvlJc w:val="left"/>
      <w:pPr>
        <w:tabs>
          <w:tab w:val="num" w:pos="1009"/>
        </w:tabs>
        <w:ind w:left="1009" w:hanging="578"/>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555C67EC"/>
    <w:multiLevelType w:val="multilevel"/>
    <w:tmpl w:val="E4A41DB8"/>
    <w:lvl w:ilvl="0">
      <w:start w:val="1"/>
      <w:numFmt w:val="decimal"/>
      <w:pStyle w:val="Rubrik1"/>
      <w:lvlText w:val="%1."/>
      <w:lvlJc w:val="left"/>
      <w:pPr>
        <w:tabs>
          <w:tab w:val="num" w:pos="0"/>
        </w:tabs>
        <w:ind w:left="1009" w:hanging="1009"/>
      </w:pPr>
      <w:rPr>
        <w:rFonts w:hint="default"/>
      </w:rPr>
    </w:lvl>
    <w:lvl w:ilvl="1">
      <w:start w:val="1"/>
      <w:numFmt w:val="decimal"/>
      <w:pStyle w:val="Rubrik2"/>
      <w:lvlText w:val="%1.%2"/>
      <w:lvlJc w:val="left"/>
      <w:pPr>
        <w:tabs>
          <w:tab w:val="num" w:pos="0"/>
        </w:tabs>
        <w:ind w:left="1009" w:hanging="1009"/>
      </w:pPr>
      <w:rPr>
        <w:rFonts w:hint="default"/>
      </w:rPr>
    </w:lvl>
    <w:lvl w:ilvl="2">
      <w:start w:val="1"/>
      <w:numFmt w:val="decimal"/>
      <w:pStyle w:val="Rubrik3"/>
      <w:lvlText w:val="%1.%2.%3"/>
      <w:lvlJc w:val="left"/>
      <w:pPr>
        <w:tabs>
          <w:tab w:val="num" w:pos="0"/>
        </w:tabs>
        <w:ind w:left="1009" w:hanging="1009"/>
      </w:pPr>
      <w:rPr>
        <w:rFonts w:hint="default"/>
      </w:rPr>
    </w:lvl>
    <w:lvl w:ilvl="3">
      <w:start w:val="1"/>
      <w:numFmt w:val="decimal"/>
      <w:pStyle w:val="Rubrik4"/>
      <w:lvlText w:val="%1.%2.%3.%4"/>
      <w:lvlJc w:val="left"/>
      <w:pPr>
        <w:tabs>
          <w:tab w:val="num" w:pos="0"/>
        </w:tabs>
        <w:ind w:left="1009" w:hanging="1009"/>
      </w:pPr>
      <w:rPr>
        <w:rFonts w:ascii="Times New Roman" w:hAnsi="Times New Roman" w:hint="default"/>
        <w:b w:val="0"/>
        <w:i w:val="0"/>
        <w:sz w:val="22"/>
        <w:szCs w:val="24"/>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14" w15:restartNumberingAfterBreak="0">
    <w:nsid w:val="6B8B0739"/>
    <w:multiLevelType w:val="multilevel"/>
    <w:tmpl w:val="803CFBE4"/>
    <w:name w:val="bilaga"/>
    <w:lvl w:ilvl="0">
      <w:start w:val="1"/>
      <w:numFmt w:val="lowerLetter"/>
      <w:lvlRestart w:val="0"/>
      <w:pStyle w:val="Listlevel1aAlt5"/>
      <w:lvlText w:val="(%1)"/>
      <w:lvlJc w:val="left"/>
      <w:pPr>
        <w:tabs>
          <w:tab w:val="num" w:pos="1009"/>
        </w:tabs>
        <w:ind w:left="1009" w:hanging="578"/>
      </w:pPr>
      <w:rPr>
        <w:rFonts w:hint="default"/>
        <w:i w:val="0"/>
      </w:rPr>
    </w:lvl>
    <w:lvl w:ilvl="1">
      <w:start w:val="1"/>
      <w:numFmt w:val="lowerRoman"/>
      <w:pStyle w:val="Listlevel2i"/>
      <w:lvlText w:val="(%2)"/>
      <w:lvlJc w:val="left"/>
      <w:pPr>
        <w:tabs>
          <w:tab w:val="num" w:pos="1587"/>
        </w:tabs>
        <w:ind w:left="1587" w:hanging="578"/>
      </w:pPr>
      <w:rPr>
        <w:rFonts w:hint="default"/>
      </w:rPr>
    </w:lvl>
    <w:lvl w:ilvl="2">
      <w:start w:val="1"/>
      <w:numFmt w:val="upperLetter"/>
      <w:pStyle w:val="Listlevel3A"/>
      <w:lvlText w:val="(%3)"/>
      <w:lvlJc w:val="left"/>
      <w:pPr>
        <w:tabs>
          <w:tab w:val="num" w:pos="2166"/>
        </w:tabs>
        <w:ind w:left="2166" w:hanging="579"/>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5" w15:restartNumberingAfterBreak="0">
    <w:nsid w:val="79910EFB"/>
    <w:multiLevelType w:val="multilevel"/>
    <w:tmpl w:val="10BC8254"/>
    <w:lvl w:ilvl="0">
      <w:start w:val="1"/>
      <w:numFmt w:val="decimal"/>
      <w:pStyle w:val="Schedule"/>
      <w:suff w:val="space"/>
      <w:lvlText w:val="Schedule %1"/>
      <w:lvlJc w:val="left"/>
      <w:pPr>
        <w:ind w:left="0" w:firstLine="0"/>
      </w:pPr>
      <w:rPr>
        <w:rFonts w:hint="default"/>
      </w:rPr>
    </w:lvl>
    <w:lvl w:ilvl="1">
      <w:start w:val="1"/>
      <w:numFmt w:val="none"/>
      <w:pStyle w:val="ScheduleHeadingToC"/>
      <w:lvlText w:val=""/>
      <w:lvlJc w:val="left"/>
      <w:pPr>
        <w:tabs>
          <w:tab w:val="num" w:pos="0"/>
        </w:tabs>
        <w:ind w:left="0" w:firstLine="0"/>
      </w:pPr>
      <w:rPr>
        <w:rFonts w:hint="default"/>
      </w:rPr>
    </w:lvl>
    <w:lvl w:ilvl="2">
      <w:start w:val="1"/>
      <w:numFmt w:val="decimal"/>
      <w:pStyle w:val="ScheduleHeading1"/>
      <w:lvlText w:val="%3."/>
      <w:lvlJc w:val="left"/>
      <w:pPr>
        <w:tabs>
          <w:tab w:val="num" w:pos="1009"/>
        </w:tabs>
        <w:ind w:left="1009" w:hanging="1009"/>
      </w:pPr>
      <w:rPr>
        <w:rFonts w:hint="default"/>
      </w:rPr>
    </w:lvl>
    <w:lvl w:ilvl="3">
      <w:start w:val="1"/>
      <w:numFmt w:val="decimal"/>
      <w:pStyle w:val="ScheduleHeading2"/>
      <w:lvlText w:val="%3.%4"/>
      <w:lvlJc w:val="left"/>
      <w:pPr>
        <w:tabs>
          <w:tab w:val="num" w:pos="1009"/>
        </w:tabs>
        <w:ind w:left="1009" w:hanging="1009"/>
      </w:pPr>
      <w:rPr>
        <w:rFonts w:hint="default"/>
      </w:rPr>
    </w:lvl>
    <w:lvl w:ilvl="4">
      <w:start w:val="1"/>
      <w:numFmt w:val="decimal"/>
      <w:pStyle w:val="ScheduleHeading3"/>
      <w:lvlText w:val="%3.%4.%5"/>
      <w:lvlJc w:val="left"/>
      <w:pPr>
        <w:tabs>
          <w:tab w:val="num" w:pos="1009"/>
        </w:tabs>
        <w:ind w:left="1009" w:hanging="100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4"/>
  </w:num>
  <w:num w:numId="14">
    <w:abstractNumId w:val="15"/>
  </w:num>
  <w:num w:numId="15">
    <w:abstractNumId w:val="11"/>
  </w:num>
  <w:num w:numId="16">
    <w:abstractNumId w:val="1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stylePaneSortMethod w:val="00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date" w:val=" "/>
    <w:docVar w:name="datum" w:val=" "/>
    <w:docVar w:name="DraftDateDate" w:val="2018-07-09"/>
    <w:docVar w:name="first" w:val="true"/>
    <w:docVar w:name="MSAlanguage" w:val="EN"/>
    <w:docVar w:name="specialDraft" w:val="DRAFT"/>
    <w:docVar w:name="specialDraftdate" w:val="9 July 2018"/>
  </w:docVars>
  <w:rsids>
    <w:rsidRoot w:val="0012382D"/>
    <w:rsid w:val="0000043E"/>
    <w:rsid w:val="00000DB5"/>
    <w:rsid w:val="000019CA"/>
    <w:rsid w:val="0001108C"/>
    <w:rsid w:val="00027D23"/>
    <w:rsid w:val="00032215"/>
    <w:rsid w:val="000333FC"/>
    <w:rsid w:val="000361E8"/>
    <w:rsid w:val="0003705A"/>
    <w:rsid w:val="0003710A"/>
    <w:rsid w:val="00043C35"/>
    <w:rsid w:val="00045E09"/>
    <w:rsid w:val="00047762"/>
    <w:rsid w:val="00050375"/>
    <w:rsid w:val="00051DD9"/>
    <w:rsid w:val="00053AC0"/>
    <w:rsid w:val="00055358"/>
    <w:rsid w:val="000622F1"/>
    <w:rsid w:val="00065F81"/>
    <w:rsid w:val="00066D25"/>
    <w:rsid w:val="00072483"/>
    <w:rsid w:val="000756FA"/>
    <w:rsid w:val="00083185"/>
    <w:rsid w:val="000841E8"/>
    <w:rsid w:val="00085168"/>
    <w:rsid w:val="00093903"/>
    <w:rsid w:val="00096814"/>
    <w:rsid w:val="000A6F9E"/>
    <w:rsid w:val="000C1921"/>
    <w:rsid w:val="000C1DC2"/>
    <w:rsid w:val="000C5CAD"/>
    <w:rsid w:val="000C697B"/>
    <w:rsid w:val="000D1B9C"/>
    <w:rsid w:val="000D5652"/>
    <w:rsid w:val="000D60E4"/>
    <w:rsid w:val="000E2CA7"/>
    <w:rsid w:val="000E6512"/>
    <w:rsid w:val="000E7EEF"/>
    <w:rsid w:val="000F19FF"/>
    <w:rsid w:val="000F1B3D"/>
    <w:rsid w:val="000F361F"/>
    <w:rsid w:val="00102B9C"/>
    <w:rsid w:val="001106A1"/>
    <w:rsid w:val="00113BEF"/>
    <w:rsid w:val="001161A6"/>
    <w:rsid w:val="0011646F"/>
    <w:rsid w:val="00117E27"/>
    <w:rsid w:val="001231C0"/>
    <w:rsid w:val="0012382D"/>
    <w:rsid w:val="00125E46"/>
    <w:rsid w:val="001275EB"/>
    <w:rsid w:val="00130A71"/>
    <w:rsid w:val="00134B7F"/>
    <w:rsid w:val="0013571C"/>
    <w:rsid w:val="0013646E"/>
    <w:rsid w:val="001403D2"/>
    <w:rsid w:val="001428D5"/>
    <w:rsid w:val="00150CB2"/>
    <w:rsid w:val="00151471"/>
    <w:rsid w:val="0015312F"/>
    <w:rsid w:val="00154D32"/>
    <w:rsid w:val="00155226"/>
    <w:rsid w:val="00155595"/>
    <w:rsid w:val="00155FC0"/>
    <w:rsid w:val="001601CD"/>
    <w:rsid w:val="001612A4"/>
    <w:rsid w:val="00164E7A"/>
    <w:rsid w:val="00167A20"/>
    <w:rsid w:val="001707C5"/>
    <w:rsid w:val="00170DB0"/>
    <w:rsid w:val="0017293B"/>
    <w:rsid w:val="00173E4F"/>
    <w:rsid w:val="0017427F"/>
    <w:rsid w:val="00180AA4"/>
    <w:rsid w:val="00194BD9"/>
    <w:rsid w:val="001A26F0"/>
    <w:rsid w:val="001A2723"/>
    <w:rsid w:val="001A3B84"/>
    <w:rsid w:val="001A55A6"/>
    <w:rsid w:val="001A5CEF"/>
    <w:rsid w:val="001A69FA"/>
    <w:rsid w:val="001B21AF"/>
    <w:rsid w:val="001B2228"/>
    <w:rsid w:val="001B4555"/>
    <w:rsid w:val="001B6606"/>
    <w:rsid w:val="001C083D"/>
    <w:rsid w:val="001C08C8"/>
    <w:rsid w:val="001C21EB"/>
    <w:rsid w:val="001C4F81"/>
    <w:rsid w:val="001C5289"/>
    <w:rsid w:val="001D4189"/>
    <w:rsid w:val="001E48C8"/>
    <w:rsid w:val="001E4D3F"/>
    <w:rsid w:val="001E60DE"/>
    <w:rsid w:val="001F1121"/>
    <w:rsid w:val="001F1E15"/>
    <w:rsid w:val="001F7BE5"/>
    <w:rsid w:val="00201DF1"/>
    <w:rsid w:val="00204F9A"/>
    <w:rsid w:val="00207081"/>
    <w:rsid w:val="002200C1"/>
    <w:rsid w:val="002258D9"/>
    <w:rsid w:val="00226508"/>
    <w:rsid w:val="002318B9"/>
    <w:rsid w:val="00235D6B"/>
    <w:rsid w:val="00235E51"/>
    <w:rsid w:val="00237530"/>
    <w:rsid w:val="00237A68"/>
    <w:rsid w:val="00257BB5"/>
    <w:rsid w:val="00260776"/>
    <w:rsid w:val="002625BD"/>
    <w:rsid w:val="00262E13"/>
    <w:rsid w:val="002647DF"/>
    <w:rsid w:val="00267ED1"/>
    <w:rsid w:val="00274DF6"/>
    <w:rsid w:val="00275528"/>
    <w:rsid w:val="0027636B"/>
    <w:rsid w:val="0028207D"/>
    <w:rsid w:val="002857E5"/>
    <w:rsid w:val="002A4793"/>
    <w:rsid w:val="002A7852"/>
    <w:rsid w:val="002A79A1"/>
    <w:rsid w:val="002A7F2C"/>
    <w:rsid w:val="002B080E"/>
    <w:rsid w:val="002B2C63"/>
    <w:rsid w:val="002B32C7"/>
    <w:rsid w:val="002B40B9"/>
    <w:rsid w:val="002C1EB3"/>
    <w:rsid w:val="002C3A1D"/>
    <w:rsid w:val="002C4806"/>
    <w:rsid w:val="002D5583"/>
    <w:rsid w:val="002D6062"/>
    <w:rsid w:val="002E4BDF"/>
    <w:rsid w:val="002E6DF3"/>
    <w:rsid w:val="002E6F75"/>
    <w:rsid w:val="002E76C2"/>
    <w:rsid w:val="002F20DC"/>
    <w:rsid w:val="002F3CC1"/>
    <w:rsid w:val="002F64C3"/>
    <w:rsid w:val="00301373"/>
    <w:rsid w:val="00302D29"/>
    <w:rsid w:val="003039D1"/>
    <w:rsid w:val="00313406"/>
    <w:rsid w:val="00313D16"/>
    <w:rsid w:val="0032003B"/>
    <w:rsid w:val="00325631"/>
    <w:rsid w:val="003258E0"/>
    <w:rsid w:val="00326562"/>
    <w:rsid w:val="00330951"/>
    <w:rsid w:val="00332AB4"/>
    <w:rsid w:val="00336F5D"/>
    <w:rsid w:val="003408C1"/>
    <w:rsid w:val="00341558"/>
    <w:rsid w:val="00343992"/>
    <w:rsid w:val="003445FD"/>
    <w:rsid w:val="00345898"/>
    <w:rsid w:val="00346374"/>
    <w:rsid w:val="0035485F"/>
    <w:rsid w:val="00354C0C"/>
    <w:rsid w:val="00354F7F"/>
    <w:rsid w:val="00364CED"/>
    <w:rsid w:val="003777EA"/>
    <w:rsid w:val="00380824"/>
    <w:rsid w:val="003818D3"/>
    <w:rsid w:val="00383472"/>
    <w:rsid w:val="0038386F"/>
    <w:rsid w:val="00385846"/>
    <w:rsid w:val="00386893"/>
    <w:rsid w:val="00395705"/>
    <w:rsid w:val="003A24A3"/>
    <w:rsid w:val="003A58C5"/>
    <w:rsid w:val="003B2421"/>
    <w:rsid w:val="003C0E83"/>
    <w:rsid w:val="003C6573"/>
    <w:rsid w:val="003D17E8"/>
    <w:rsid w:val="003D2ADD"/>
    <w:rsid w:val="003D470E"/>
    <w:rsid w:val="003D6517"/>
    <w:rsid w:val="003E0422"/>
    <w:rsid w:val="003E4876"/>
    <w:rsid w:val="003E6C25"/>
    <w:rsid w:val="003F57A0"/>
    <w:rsid w:val="003F7F16"/>
    <w:rsid w:val="00400C05"/>
    <w:rsid w:val="00405F55"/>
    <w:rsid w:val="004065D2"/>
    <w:rsid w:val="00411A0E"/>
    <w:rsid w:val="0041589F"/>
    <w:rsid w:val="004229BC"/>
    <w:rsid w:val="00424729"/>
    <w:rsid w:val="00424CAF"/>
    <w:rsid w:val="00425C6E"/>
    <w:rsid w:val="0043321C"/>
    <w:rsid w:val="00433A43"/>
    <w:rsid w:val="004341B9"/>
    <w:rsid w:val="0044131F"/>
    <w:rsid w:val="00444070"/>
    <w:rsid w:val="0044559E"/>
    <w:rsid w:val="00447A8E"/>
    <w:rsid w:val="00447F77"/>
    <w:rsid w:val="00451778"/>
    <w:rsid w:val="0045460D"/>
    <w:rsid w:val="00460592"/>
    <w:rsid w:val="00465FC1"/>
    <w:rsid w:val="00467B68"/>
    <w:rsid w:val="00467D47"/>
    <w:rsid w:val="00471E6B"/>
    <w:rsid w:val="00473E5F"/>
    <w:rsid w:val="0047407E"/>
    <w:rsid w:val="0048040F"/>
    <w:rsid w:val="004805B5"/>
    <w:rsid w:val="004814C5"/>
    <w:rsid w:val="00484C47"/>
    <w:rsid w:val="0049000F"/>
    <w:rsid w:val="00492A92"/>
    <w:rsid w:val="00497D80"/>
    <w:rsid w:val="004A01E2"/>
    <w:rsid w:val="004A46C3"/>
    <w:rsid w:val="004A6F23"/>
    <w:rsid w:val="004B034A"/>
    <w:rsid w:val="004B3FC5"/>
    <w:rsid w:val="004B6724"/>
    <w:rsid w:val="004B7990"/>
    <w:rsid w:val="004C3B9F"/>
    <w:rsid w:val="004C52B6"/>
    <w:rsid w:val="004D0329"/>
    <w:rsid w:val="004D193C"/>
    <w:rsid w:val="004D3123"/>
    <w:rsid w:val="004D59A7"/>
    <w:rsid w:val="004D7074"/>
    <w:rsid w:val="004F0329"/>
    <w:rsid w:val="0050203E"/>
    <w:rsid w:val="005051E9"/>
    <w:rsid w:val="00507E5C"/>
    <w:rsid w:val="00510343"/>
    <w:rsid w:val="00510616"/>
    <w:rsid w:val="005135A4"/>
    <w:rsid w:val="005164D4"/>
    <w:rsid w:val="00523AD5"/>
    <w:rsid w:val="00527F38"/>
    <w:rsid w:val="0053198D"/>
    <w:rsid w:val="005368B5"/>
    <w:rsid w:val="00537D70"/>
    <w:rsid w:val="0054234D"/>
    <w:rsid w:val="00555E5E"/>
    <w:rsid w:val="00567035"/>
    <w:rsid w:val="00572BDB"/>
    <w:rsid w:val="00577E72"/>
    <w:rsid w:val="00577EC1"/>
    <w:rsid w:val="00580594"/>
    <w:rsid w:val="00580C0F"/>
    <w:rsid w:val="00585304"/>
    <w:rsid w:val="005860FB"/>
    <w:rsid w:val="00587F91"/>
    <w:rsid w:val="005903A0"/>
    <w:rsid w:val="00596CDD"/>
    <w:rsid w:val="005A13EB"/>
    <w:rsid w:val="005A3EEF"/>
    <w:rsid w:val="005A76A6"/>
    <w:rsid w:val="005B2C7C"/>
    <w:rsid w:val="005B709F"/>
    <w:rsid w:val="005C5537"/>
    <w:rsid w:val="005C5AB6"/>
    <w:rsid w:val="005E0F65"/>
    <w:rsid w:val="005F0D8B"/>
    <w:rsid w:val="005F244D"/>
    <w:rsid w:val="005F5ECB"/>
    <w:rsid w:val="0061350B"/>
    <w:rsid w:val="006145EC"/>
    <w:rsid w:val="00615690"/>
    <w:rsid w:val="00616CE4"/>
    <w:rsid w:val="0062782F"/>
    <w:rsid w:val="00633F90"/>
    <w:rsid w:val="00636FD3"/>
    <w:rsid w:val="00640502"/>
    <w:rsid w:val="00640D61"/>
    <w:rsid w:val="00644A27"/>
    <w:rsid w:val="00653E0A"/>
    <w:rsid w:val="006557A1"/>
    <w:rsid w:val="00656A72"/>
    <w:rsid w:val="00657988"/>
    <w:rsid w:val="00657FEC"/>
    <w:rsid w:val="00661994"/>
    <w:rsid w:val="00661A88"/>
    <w:rsid w:val="00662520"/>
    <w:rsid w:val="006634AA"/>
    <w:rsid w:val="00666A81"/>
    <w:rsid w:val="00670DA7"/>
    <w:rsid w:val="006733EA"/>
    <w:rsid w:val="00673FA8"/>
    <w:rsid w:val="00677414"/>
    <w:rsid w:val="00682BC2"/>
    <w:rsid w:val="006901F2"/>
    <w:rsid w:val="0069234A"/>
    <w:rsid w:val="00692D32"/>
    <w:rsid w:val="00692D83"/>
    <w:rsid w:val="00695FB3"/>
    <w:rsid w:val="006979EB"/>
    <w:rsid w:val="006A28ED"/>
    <w:rsid w:val="006A5A81"/>
    <w:rsid w:val="006A5B96"/>
    <w:rsid w:val="006A720B"/>
    <w:rsid w:val="006A72C1"/>
    <w:rsid w:val="006B2A89"/>
    <w:rsid w:val="006B35F2"/>
    <w:rsid w:val="006C206F"/>
    <w:rsid w:val="006C256B"/>
    <w:rsid w:val="006D0EB2"/>
    <w:rsid w:val="006D1B8F"/>
    <w:rsid w:val="006D259A"/>
    <w:rsid w:val="006D492E"/>
    <w:rsid w:val="006D49D1"/>
    <w:rsid w:val="006D6010"/>
    <w:rsid w:val="006E34D1"/>
    <w:rsid w:val="006E3C5C"/>
    <w:rsid w:val="006E4863"/>
    <w:rsid w:val="006F0A4C"/>
    <w:rsid w:val="006F3F7B"/>
    <w:rsid w:val="0070266C"/>
    <w:rsid w:val="00705592"/>
    <w:rsid w:val="00712357"/>
    <w:rsid w:val="007127D3"/>
    <w:rsid w:val="007134A7"/>
    <w:rsid w:val="00713D54"/>
    <w:rsid w:val="00717D3A"/>
    <w:rsid w:val="00720C20"/>
    <w:rsid w:val="00732D8E"/>
    <w:rsid w:val="00733087"/>
    <w:rsid w:val="00736A11"/>
    <w:rsid w:val="00741A9E"/>
    <w:rsid w:val="007422E4"/>
    <w:rsid w:val="00743499"/>
    <w:rsid w:val="00761B6C"/>
    <w:rsid w:val="0076574D"/>
    <w:rsid w:val="00775946"/>
    <w:rsid w:val="00777E39"/>
    <w:rsid w:val="007800B3"/>
    <w:rsid w:val="0078402C"/>
    <w:rsid w:val="007865CF"/>
    <w:rsid w:val="007869E0"/>
    <w:rsid w:val="0079467F"/>
    <w:rsid w:val="00796B84"/>
    <w:rsid w:val="007B191B"/>
    <w:rsid w:val="007B41CB"/>
    <w:rsid w:val="007C39E5"/>
    <w:rsid w:val="007D0A9F"/>
    <w:rsid w:val="007D2FE2"/>
    <w:rsid w:val="007D38CD"/>
    <w:rsid w:val="007D692A"/>
    <w:rsid w:val="007E425D"/>
    <w:rsid w:val="007E5675"/>
    <w:rsid w:val="007E5F5A"/>
    <w:rsid w:val="007F01D3"/>
    <w:rsid w:val="007F049E"/>
    <w:rsid w:val="007F47F6"/>
    <w:rsid w:val="007F6536"/>
    <w:rsid w:val="00801CDD"/>
    <w:rsid w:val="00801E49"/>
    <w:rsid w:val="00802B0B"/>
    <w:rsid w:val="0080597A"/>
    <w:rsid w:val="008104E0"/>
    <w:rsid w:val="00812713"/>
    <w:rsid w:val="00812A8B"/>
    <w:rsid w:val="00824FCD"/>
    <w:rsid w:val="00826C7D"/>
    <w:rsid w:val="00831153"/>
    <w:rsid w:val="008346C5"/>
    <w:rsid w:val="00840E0F"/>
    <w:rsid w:val="008413F4"/>
    <w:rsid w:val="00844565"/>
    <w:rsid w:val="00851F73"/>
    <w:rsid w:val="00852530"/>
    <w:rsid w:val="00852DA4"/>
    <w:rsid w:val="008578DE"/>
    <w:rsid w:val="00863178"/>
    <w:rsid w:val="008648C6"/>
    <w:rsid w:val="00871FC8"/>
    <w:rsid w:val="00876229"/>
    <w:rsid w:val="00881825"/>
    <w:rsid w:val="00881FCF"/>
    <w:rsid w:val="00884AF8"/>
    <w:rsid w:val="008852C5"/>
    <w:rsid w:val="0088535F"/>
    <w:rsid w:val="00885C5F"/>
    <w:rsid w:val="00886BF4"/>
    <w:rsid w:val="00893D6E"/>
    <w:rsid w:val="0089791A"/>
    <w:rsid w:val="008A367D"/>
    <w:rsid w:val="008A39B1"/>
    <w:rsid w:val="008A7079"/>
    <w:rsid w:val="008B0ACC"/>
    <w:rsid w:val="008B195F"/>
    <w:rsid w:val="008B463E"/>
    <w:rsid w:val="008B6C3A"/>
    <w:rsid w:val="008C2EF2"/>
    <w:rsid w:val="008C4EE0"/>
    <w:rsid w:val="008C6F86"/>
    <w:rsid w:val="008C7D30"/>
    <w:rsid w:val="008D3205"/>
    <w:rsid w:val="008D672F"/>
    <w:rsid w:val="008E321C"/>
    <w:rsid w:val="008E5C5A"/>
    <w:rsid w:val="008E7912"/>
    <w:rsid w:val="008F12FC"/>
    <w:rsid w:val="008F28B3"/>
    <w:rsid w:val="008F79F3"/>
    <w:rsid w:val="00900440"/>
    <w:rsid w:val="00907DD4"/>
    <w:rsid w:val="00910E75"/>
    <w:rsid w:val="00915CD1"/>
    <w:rsid w:val="0091665C"/>
    <w:rsid w:val="0091707A"/>
    <w:rsid w:val="009178EF"/>
    <w:rsid w:val="00926304"/>
    <w:rsid w:val="00933FA0"/>
    <w:rsid w:val="009413BA"/>
    <w:rsid w:val="009433B6"/>
    <w:rsid w:val="009437B6"/>
    <w:rsid w:val="00943A8E"/>
    <w:rsid w:val="00944CF3"/>
    <w:rsid w:val="009456CE"/>
    <w:rsid w:val="00946B27"/>
    <w:rsid w:val="00950C0A"/>
    <w:rsid w:val="00954F72"/>
    <w:rsid w:val="0096590A"/>
    <w:rsid w:val="00970640"/>
    <w:rsid w:val="009758D4"/>
    <w:rsid w:val="0098409F"/>
    <w:rsid w:val="00985EBB"/>
    <w:rsid w:val="00990E0F"/>
    <w:rsid w:val="009914DC"/>
    <w:rsid w:val="00991C03"/>
    <w:rsid w:val="0099391B"/>
    <w:rsid w:val="0099744F"/>
    <w:rsid w:val="009A66C6"/>
    <w:rsid w:val="009B607D"/>
    <w:rsid w:val="009B781F"/>
    <w:rsid w:val="009C18C9"/>
    <w:rsid w:val="009C24BA"/>
    <w:rsid w:val="009C2AFE"/>
    <w:rsid w:val="009C3F2A"/>
    <w:rsid w:val="009D072E"/>
    <w:rsid w:val="009D086D"/>
    <w:rsid w:val="009D1D90"/>
    <w:rsid w:val="009D731A"/>
    <w:rsid w:val="009D7C94"/>
    <w:rsid w:val="009E0771"/>
    <w:rsid w:val="009E0B6B"/>
    <w:rsid w:val="009E25AC"/>
    <w:rsid w:val="009E750A"/>
    <w:rsid w:val="009F0270"/>
    <w:rsid w:val="009F38C3"/>
    <w:rsid w:val="009F42CA"/>
    <w:rsid w:val="009F4EC3"/>
    <w:rsid w:val="009F56FB"/>
    <w:rsid w:val="00A03C4D"/>
    <w:rsid w:val="00A067A0"/>
    <w:rsid w:val="00A07C50"/>
    <w:rsid w:val="00A1148B"/>
    <w:rsid w:val="00A12CF6"/>
    <w:rsid w:val="00A13D97"/>
    <w:rsid w:val="00A13EB9"/>
    <w:rsid w:val="00A2239D"/>
    <w:rsid w:val="00A25466"/>
    <w:rsid w:val="00A2600B"/>
    <w:rsid w:val="00A3079C"/>
    <w:rsid w:val="00A31578"/>
    <w:rsid w:val="00A350D3"/>
    <w:rsid w:val="00A500CD"/>
    <w:rsid w:val="00A514A8"/>
    <w:rsid w:val="00A54B4C"/>
    <w:rsid w:val="00A62DB9"/>
    <w:rsid w:val="00A63253"/>
    <w:rsid w:val="00A67913"/>
    <w:rsid w:val="00A70F70"/>
    <w:rsid w:val="00A82074"/>
    <w:rsid w:val="00A97FF2"/>
    <w:rsid w:val="00AA30E0"/>
    <w:rsid w:val="00AA5C8A"/>
    <w:rsid w:val="00AB0916"/>
    <w:rsid w:val="00AB1B8C"/>
    <w:rsid w:val="00AB2CE2"/>
    <w:rsid w:val="00AB4E9B"/>
    <w:rsid w:val="00AC584F"/>
    <w:rsid w:val="00AE12C2"/>
    <w:rsid w:val="00AE1586"/>
    <w:rsid w:val="00AE4465"/>
    <w:rsid w:val="00AE6E5E"/>
    <w:rsid w:val="00AF015B"/>
    <w:rsid w:val="00AF0A5D"/>
    <w:rsid w:val="00AF3360"/>
    <w:rsid w:val="00AF3FEB"/>
    <w:rsid w:val="00B0510A"/>
    <w:rsid w:val="00B11A22"/>
    <w:rsid w:val="00B14F24"/>
    <w:rsid w:val="00B17E94"/>
    <w:rsid w:val="00B22957"/>
    <w:rsid w:val="00B244AE"/>
    <w:rsid w:val="00B2645B"/>
    <w:rsid w:val="00B26842"/>
    <w:rsid w:val="00B32D4A"/>
    <w:rsid w:val="00B33567"/>
    <w:rsid w:val="00B356CD"/>
    <w:rsid w:val="00B40C47"/>
    <w:rsid w:val="00B449AC"/>
    <w:rsid w:val="00B44B3B"/>
    <w:rsid w:val="00B47288"/>
    <w:rsid w:val="00B47303"/>
    <w:rsid w:val="00B47761"/>
    <w:rsid w:val="00B517C0"/>
    <w:rsid w:val="00B57910"/>
    <w:rsid w:val="00B57FCD"/>
    <w:rsid w:val="00B62476"/>
    <w:rsid w:val="00B659E6"/>
    <w:rsid w:val="00B747F3"/>
    <w:rsid w:val="00B80D02"/>
    <w:rsid w:val="00B836C4"/>
    <w:rsid w:val="00B918A3"/>
    <w:rsid w:val="00B96300"/>
    <w:rsid w:val="00B963C9"/>
    <w:rsid w:val="00B97A71"/>
    <w:rsid w:val="00BA100A"/>
    <w:rsid w:val="00BA21B2"/>
    <w:rsid w:val="00BA25B3"/>
    <w:rsid w:val="00BA6B74"/>
    <w:rsid w:val="00BA7A5D"/>
    <w:rsid w:val="00BB3292"/>
    <w:rsid w:val="00BB335E"/>
    <w:rsid w:val="00BB6E36"/>
    <w:rsid w:val="00BC30A5"/>
    <w:rsid w:val="00BC6094"/>
    <w:rsid w:val="00BC7B5E"/>
    <w:rsid w:val="00BD41B2"/>
    <w:rsid w:val="00BD7981"/>
    <w:rsid w:val="00BD7D22"/>
    <w:rsid w:val="00BE056F"/>
    <w:rsid w:val="00BE30EA"/>
    <w:rsid w:val="00BE45CF"/>
    <w:rsid w:val="00BE64C9"/>
    <w:rsid w:val="00BF1407"/>
    <w:rsid w:val="00BF6304"/>
    <w:rsid w:val="00C0054C"/>
    <w:rsid w:val="00C13DC0"/>
    <w:rsid w:val="00C175FD"/>
    <w:rsid w:val="00C235BC"/>
    <w:rsid w:val="00C25FF8"/>
    <w:rsid w:val="00C30081"/>
    <w:rsid w:val="00C31020"/>
    <w:rsid w:val="00C342A3"/>
    <w:rsid w:val="00C37785"/>
    <w:rsid w:val="00C4194F"/>
    <w:rsid w:val="00C444C1"/>
    <w:rsid w:val="00C4508E"/>
    <w:rsid w:val="00C470E5"/>
    <w:rsid w:val="00C503A5"/>
    <w:rsid w:val="00C53DF5"/>
    <w:rsid w:val="00C63FC4"/>
    <w:rsid w:val="00C656EB"/>
    <w:rsid w:val="00C74AF3"/>
    <w:rsid w:val="00C7509D"/>
    <w:rsid w:val="00C84C9D"/>
    <w:rsid w:val="00C85536"/>
    <w:rsid w:val="00C87B44"/>
    <w:rsid w:val="00CA0B1F"/>
    <w:rsid w:val="00CA2394"/>
    <w:rsid w:val="00CA2AA3"/>
    <w:rsid w:val="00CA3C62"/>
    <w:rsid w:val="00CA6144"/>
    <w:rsid w:val="00CB291E"/>
    <w:rsid w:val="00CB4326"/>
    <w:rsid w:val="00CC0017"/>
    <w:rsid w:val="00CC1CB0"/>
    <w:rsid w:val="00CC4ECE"/>
    <w:rsid w:val="00CC6159"/>
    <w:rsid w:val="00CC7D98"/>
    <w:rsid w:val="00CD04D1"/>
    <w:rsid w:val="00CD27F7"/>
    <w:rsid w:val="00CD282A"/>
    <w:rsid w:val="00CD312B"/>
    <w:rsid w:val="00CD3FF6"/>
    <w:rsid w:val="00CD75ED"/>
    <w:rsid w:val="00CE0FF0"/>
    <w:rsid w:val="00CE346C"/>
    <w:rsid w:val="00CE50F7"/>
    <w:rsid w:val="00CF366E"/>
    <w:rsid w:val="00D0160B"/>
    <w:rsid w:val="00D01F6F"/>
    <w:rsid w:val="00D0503D"/>
    <w:rsid w:val="00D062EC"/>
    <w:rsid w:val="00D06AAB"/>
    <w:rsid w:val="00D21EB4"/>
    <w:rsid w:val="00D246E4"/>
    <w:rsid w:val="00D24E49"/>
    <w:rsid w:val="00D334CC"/>
    <w:rsid w:val="00D41E6F"/>
    <w:rsid w:val="00D41EA6"/>
    <w:rsid w:val="00D525FB"/>
    <w:rsid w:val="00D5325E"/>
    <w:rsid w:val="00D5778A"/>
    <w:rsid w:val="00D60E8E"/>
    <w:rsid w:val="00D71A58"/>
    <w:rsid w:val="00D74CEA"/>
    <w:rsid w:val="00D77133"/>
    <w:rsid w:val="00D772BF"/>
    <w:rsid w:val="00D8057B"/>
    <w:rsid w:val="00D86DCC"/>
    <w:rsid w:val="00D9005A"/>
    <w:rsid w:val="00D948C3"/>
    <w:rsid w:val="00D94B15"/>
    <w:rsid w:val="00D957F9"/>
    <w:rsid w:val="00DA51B8"/>
    <w:rsid w:val="00DB4B4C"/>
    <w:rsid w:val="00DB5653"/>
    <w:rsid w:val="00DC39E1"/>
    <w:rsid w:val="00DC5CE8"/>
    <w:rsid w:val="00DD041A"/>
    <w:rsid w:val="00DD3C10"/>
    <w:rsid w:val="00DD601E"/>
    <w:rsid w:val="00DE3C95"/>
    <w:rsid w:val="00DE5066"/>
    <w:rsid w:val="00DE5835"/>
    <w:rsid w:val="00E0038F"/>
    <w:rsid w:val="00E00A4E"/>
    <w:rsid w:val="00E128DB"/>
    <w:rsid w:val="00E13F48"/>
    <w:rsid w:val="00E22687"/>
    <w:rsid w:val="00E30E0F"/>
    <w:rsid w:val="00E3256F"/>
    <w:rsid w:val="00E33ED4"/>
    <w:rsid w:val="00E3546E"/>
    <w:rsid w:val="00E4235E"/>
    <w:rsid w:val="00E43F29"/>
    <w:rsid w:val="00E45C67"/>
    <w:rsid w:val="00E46F9E"/>
    <w:rsid w:val="00E479B9"/>
    <w:rsid w:val="00E510C4"/>
    <w:rsid w:val="00E512B5"/>
    <w:rsid w:val="00E51FBB"/>
    <w:rsid w:val="00E56E6E"/>
    <w:rsid w:val="00E56EEF"/>
    <w:rsid w:val="00E57AC0"/>
    <w:rsid w:val="00E625AF"/>
    <w:rsid w:val="00E62C2E"/>
    <w:rsid w:val="00E636E3"/>
    <w:rsid w:val="00E63824"/>
    <w:rsid w:val="00E63924"/>
    <w:rsid w:val="00E64BF0"/>
    <w:rsid w:val="00E7797C"/>
    <w:rsid w:val="00E77A44"/>
    <w:rsid w:val="00E821E7"/>
    <w:rsid w:val="00E878DA"/>
    <w:rsid w:val="00E940F1"/>
    <w:rsid w:val="00E949CA"/>
    <w:rsid w:val="00E949F4"/>
    <w:rsid w:val="00EA0BB0"/>
    <w:rsid w:val="00EA2911"/>
    <w:rsid w:val="00EB2233"/>
    <w:rsid w:val="00EB298D"/>
    <w:rsid w:val="00EB77F3"/>
    <w:rsid w:val="00EC0C49"/>
    <w:rsid w:val="00EC4C0E"/>
    <w:rsid w:val="00EC5E5C"/>
    <w:rsid w:val="00ED0E41"/>
    <w:rsid w:val="00ED3DAF"/>
    <w:rsid w:val="00ED76AE"/>
    <w:rsid w:val="00EE01A1"/>
    <w:rsid w:val="00EE18C5"/>
    <w:rsid w:val="00EE2529"/>
    <w:rsid w:val="00EE56DC"/>
    <w:rsid w:val="00EF05F0"/>
    <w:rsid w:val="00EF1A33"/>
    <w:rsid w:val="00EF1E00"/>
    <w:rsid w:val="00EF470B"/>
    <w:rsid w:val="00EF76FB"/>
    <w:rsid w:val="00F0114B"/>
    <w:rsid w:val="00F01653"/>
    <w:rsid w:val="00F02C3A"/>
    <w:rsid w:val="00F04D67"/>
    <w:rsid w:val="00F05F08"/>
    <w:rsid w:val="00F06645"/>
    <w:rsid w:val="00F07CE3"/>
    <w:rsid w:val="00F1460C"/>
    <w:rsid w:val="00F1698C"/>
    <w:rsid w:val="00F179BB"/>
    <w:rsid w:val="00F21F6D"/>
    <w:rsid w:val="00F26F27"/>
    <w:rsid w:val="00F279BF"/>
    <w:rsid w:val="00F3380E"/>
    <w:rsid w:val="00F33E6C"/>
    <w:rsid w:val="00F355B2"/>
    <w:rsid w:val="00F35990"/>
    <w:rsid w:val="00F363CB"/>
    <w:rsid w:val="00F434FB"/>
    <w:rsid w:val="00F43D23"/>
    <w:rsid w:val="00F4479D"/>
    <w:rsid w:val="00F47C0E"/>
    <w:rsid w:val="00F500FA"/>
    <w:rsid w:val="00F506D5"/>
    <w:rsid w:val="00F527D1"/>
    <w:rsid w:val="00F53F21"/>
    <w:rsid w:val="00F542E1"/>
    <w:rsid w:val="00F54552"/>
    <w:rsid w:val="00F56321"/>
    <w:rsid w:val="00F56E9C"/>
    <w:rsid w:val="00F60277"/>
    <w:rsid w:val="00F66543"/>
    <w:rsid w:val="00F77CB1"/>
    <w:rsid w:val="00F809B3"/>
    <w:rsid w:val="00F824DE"/>
    <w:rsid w:val="00F830D1"/>
    <w:rsid w:val="00F8432F"/>
    <w:rsid w:val="00F930D4"/>
    <w:rsid w:val="00F948F7"/>
    <w:rsid w:val="00F95BBB"/>
    <w:rsid w:val="00F97827"/>
    <w:rsid w:val="00FA2806"/>
    <w:rsid w:val="00FA36CF"/>
    <w:rsid w:val="00FA7CFE"/>
    <w:rsid w:val="00FB2EA2"/>
    <w:rsid w:val="00FB51DA"/>
    <w:rsid w:val="00FC4194"/>
    <w:rsid w:val="00FC44F3"/>
    <w:rsid w:val="00FC715D"/>
    <w:rsid w:val="00FD1C60"/>
    <w:rsid w:val="00FD58FC"/>
    <w:rsid w:val="00FD5961"/>
    <w:rsid w:val="00FD5C10"/>
    <w:rsid w:val="00FE5195"/>
    <w:rsid w:val="00FF4703"/>
    <w:rsid w:val="00FF4EB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F92F1C"/>
  <w15:docId w15:val="{566BA5EC-0504-445D-BD48-EDE71A63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8"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Alt+B"/>
    <w:qFormat/>
    <w:rsid w:val="001C083D"/>
    <w:pPr>
      <w:spacing w:after="240"/>
    </w:pPr>
    <w:rPr>
      <w:sz w:val="22"/>
      <w:szCs w:val="24"/>
      <w:lang w:val="en-GB"/>
    </w:rPr>
  </w:style>
  <w:style w:type="paragraph" w:styleId="Rubrik1">
    <w:name w:val="heading 1"/>
    <w:aliases w:val="Heading 1 Alt+1"/>
    <w:basedOn w:val="Normal"/>
    <w:next w:val="Normal"/>
    <w:qFormat/>
    <w:rsid w:val="00313406"/>
    <w:pPr>
      <w:keepNext/>
      <w:numPr>
        <w:numId w:val="11"/>
      </w:numPr>
      <w:spacing w:before="240"/>
      <w:outlineLvl w:val="0"/>
    </w:pPr>
    <w:rPr>
      <w:rFonts w:cs="Arial"/>
      <w:b/>
      <w:bCs/>
      <w:sz w:val="28"/>
      <w:szCs w:val="28"/>
    </w:rPr>
  </w:style>
  <w:style w:type="paragraph" w:styleId="Rubrik2">
    <w:name w:val="heading 2"/>
    <w:aliases w:val="Heading 2 Alt+2"/>
    <w:basedOn w:val="Normal"/>
    <w:next w:val="Normal"/>
    <w:qFormat/>
    <w:rsid w:val="003C0E83"/>
    <w:pPr>
      <w:keepNext/>
      <w:numPr>
        <w:ilvl w:val="1"/>
        <w:numId w:val="11"/>
      </w:numPr>
      <w:spacing w:before="120"/>
      <w:outlineLvl w:val="1"/>
    </w:pPr>
    <w:rPr>
      <w:rFonts w:cs="Arial"/>
      <w:b/>
      <w:bCs/>
      <w:iCs/>
    </w:rPr>
  </w:style>
  <w:style w:type="paragraph" w:styleId="Rubrik3">
    <w:name w:val="heading 3"/>
    <w:aliases w:val="Heading 3 Alt+3"/>
    <w:basedOn w:val="Normal"/>
    <w:next w:val="Normal"/>
    <w:qFormat/>
    <w:rsid w:val="00313406"/>
    <w:pPr>
      <w:keepNext/>
      <w:numPr>
        <w:ilvl w:val="2"/>
        <w:numId w:val="11"/>
      </w:numPr>
      <w:outlineLvl w:val="2"/>
    </w:pPr>
    <w:rPr>
      <w:rFonts w:cs="Arial"/>
      <w:bCs/>
      <w:u w:val="single"/>
    </w:rPr>
  </w:style>
  <w:style w:type="paragraph" w:styleId="Rubrik4">
    <w:name w:val="heading 4"/>
    <w:aliases w:val="Heading 4 Alt+4"/>
    <w:basedOn w:val="Normal"/>
    <w:next w:val="Normal"/>
    <w:qFormat/>
    <w:rsid w:val="007C39E5"/>
    <w:pPr>
      <w:keepNext/>
      <w:numPr>
        <w:ilvl w:val="3"/>
        <w:numId w:val="11"/>
      </w:numPr>
      <w:outlineLvl w:val="3"/>
    </w:pPr>
    <w:rPr>
      <w:bCs/>
      <w:i/>
    </w:rPr>
  </w:style>
  <w:style w:type="paragraph" w:styleId="Rubrik5">
    <w:name w:val="heading 5"/>
    <w:basedOn w:val="Normal"/>
    <w:next w:val="Normal"/>
    <w:semiHidden/>
    <w:qFormat/>
    <w:rsid w:val="00313406"/>
    <w:pPr>
      <w:numPr>
        <w:ilvl w:val="4"/>
        <w:numId w:val="11"/>
      </w:numPr>
      <w:spacing w:before="240" w:after="60"/>
      <w:outlineLvl w:val="4"/>
    </w:pPr>
    <w:rPr>
      <w:b/>
      <w:bCs/>
      <w:i/>
      <w:iCs/>
      <w:sz w:val="26"/>
      <w:szCs w:val="26"/>
    </w:rPr>
  </w:style>
  <w:style w:type="paragraph" w:styleId="Rubrik6">
    <w:name w:val="heading 6"/>
    <w:basedOn w:val="Normal"/>
    <w:next w:val="Normal"/>
    <w:semiHidden/>
    <w:qFormat/>
    <w:rsid w:val="00313406"/>
    <w:pPr>
      <w:numPr>
        <w:ilvl w:val="5"/>
        <w:numId w:val="11"/>
      </w:numPr>
      <w:spacing w:before="240" w:after="60"/>
      <w:outlineLvl w:val="5"/>
    </w:pPr>
    <w:rPr>
      <w:b/>
      <w:bCs/>
      <w:szCs w:val="22"/>
    </w:rPr>
  </w:style>
  <w:style w:type="paragraph" w:styleId="Rubrik7">
    <w:name w:val="heading 7"/>
    <w:basedOn w:val="Normal"/>
    <w:next w:val="Normal"/>
    <w:semiHidden/>
    <w:qFormat/>
    <w:rsid w:val="00313406"/>
    <w:pPr>
      <w:numPr>
        <w:ilvl w:val="6"/>
        <w:numId w:val="11"/>
      </w:numPr>
      <w:spacing w:before="240" w:after="60"/>
      <w:outlineLvl w:val="6"/>
    </w:pPr>
  </w:style>
  <w:style w:type="paragraph" w:styleId="Rubrik8">
    <w:name w:val="heading 8"/>
    <w:basedOn w:val="Normal"/>
    <w:next w:val="Normal"/>
    <w:semiHidden/>
    <w:qFormat/>
    <w:rsid w:val="00313406"/>
    <w:pPr>
      <w:numPr>
        <w:ilvl w:val="7"/>
        <w:numId w:val="11"/>
      </w:numPr>
      <w:spacing w:before="240" w:after="60"/>
      <w:outlineLvl w:val="7"/>
    </w:pPr>
    <w:rPr>
      <w:i/>
      <w:iCs/>
    </w:rPr>
  </w:style>
  <w:style w:type="paragraph" w:styleId="Rubrik9">
    <w:name w:val="heading 9"/>
    <w:basedOn w:val="Normal"/>
    <w:next w:val="Normal"/>
    <w:semiHidden/>
    <w:qFormat/>
    <w:rsid w:val="00313406"/>
    <w:pPr>
      <w:numPr>
        <w:ilvl w:val="8"/>
        <w:numId w:val="11"/>
      </w:num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withindentAltD">
    <w:name w:val="Normal with indent Alt+D"/>
    <w:basedOn w:val="Normal"/>
    <w:qFormat/>
    <w:rsid w:val="00555E5E"/>
    <w:pPr>
      <w:ind w:left="1009"/>
    </w:pPr>
  </w:style>
  <w:style w:type="paragraph" w:customStyle="1" w:styleId="Numbparagr2AltS">
    <w:name w:val="Numb paragr 2 Alt+S"/>
    <w:basedOn w:val="Rubrik2"/>
    <w:qFormat/>
    <w:rsid w:val="006E34D1"/>
    <w:pPr>
      <w:keepNext w:val="0"/>
      <w:spacing w:before="0"/>
    </w:pPr>
    <w:rPr>
      <w:b w:val="0"/>
    </w:rPr>
  </w:style>
  <w:style w:type="paragraph" w:customStyle="1" w:styleId="Numbparagr3AltU">
    <w:name w:val="Numb paragr 3 Alt+U"/>
    <w:basedOn w:val="Rubrik3"/>
    <w:qFormat/>
    <w:rsid w:val="006E34D1"/>
    <w:pPr>
      <w:keepNext w:val="0"/>
    </w:pPr>
    <w:rPr>
      <w:u w:val="none"/>
    </w:rPr>
  </w:style>
  <w:style w:type="paragraph" w:customStyle="1" w:styleId="Numbparagr4AltE">
    <w:name w:val="Numb paragr 4 Alt+E"/>
    <w:basedOn w:val="Rubrik4"/>
    <w:qFormat/>
    <w:rsid w:val="00796B84"/>
    <w:pPr>
      <w:keepNext w:val="0"/>
    </w:pPr>
    <w:rPr>
      <w:i w:val="0"/>
    </w:rPr>
  </w:style>
  <w:style w:type="paragraph" w:customStyle="1" w:styleId="Listlevel1aAlt5">
    <w:name w:val="List level 1 (a) Alt+5"/>
    <w:basedOn w:val="Normal"/>
    <w:uiPriority w:val="1"/>
    <w:qFormat/>
    <w:rsid w:val="00733087"/>
    <w:pPr>
      <w:numPr>
        <w:numId w:val="13"/>
      </w:numPr>
    </w:pPr>
  </w:style>
  <w:style w:type="paragraph" w:customStyle="1" w:styleId="List1Alt6">
    <w:name w:val="List 1. Alt+6"/>
    <w:basedOn w:val="Normal"/>
    <w:uiPriority w:val="2"/>
    <w:qFormat/>
    <w:rsid w:val="00424CAF"/>
    <w:pPr>
      <w:numPr>
        <w:numId w:val="12"/>
      </w:numPr>
    </w:pPr>
  </w:style>
  <w:style w:type="paragraph" w:customStyle="1" w:styleId="ListAlt7">
    <w:name w:val="List • Alt+7"/>
    <w:basedOn w:val="Normal"/>
    <w:uiPriority w:val="3"/>
    <w:qFormat/>
    <w:rsid w:val="00424CAF"/>
    <w:pPr>
      <w:numPr>
        <w:numId w:val="15"/>
      </w:numPr>
    </w:pPr>
  </w:style>
  <w:style w:type="paragraph" w:customStyle="1" w:styleId="Heading0Alt0">
    <w:name w:val="Heading 0 Alt+0"/>
    <w:basedOn w:val="Normal"/>
    <w:next w:val="Normal"/>
    <w:qFormat/>
    <w:rsid w:val="00424CAF"/>
    <w:pPr>
      <w:keepNext/>
      <w:spacing w:before="240"/>
    </w:pPr>
    <w:rPr>
      <w:b/>
      <w:sz w:val="32"/>
      <w:szCs w:val="32"/>
    </w:rPr>
  </w:style>
  <w:style w:type="paragraph" w:customStyle="1" w:styleId="Schedule">
    <w:name w:val="Schedule"/>
    <w:basedOn w:val="Normal"/>
    <w:next w:val="Normal"/>
    <w:rsid w:val="00733087"/>
    <w:pPr>
      <w:numPr>
        <w:numId w:val="14"/>
      </w:numPr>
      <w:spacing w:after="320"/>
      <w:ind w:right="-850"/>
      <w:jc w:val="right"/>
    </w:pPr>
    <w:rPr>
      <w:b/>
    </w:rPr>
  </w:style>
  <w:style w:type="paragraph" w:customStyle="1" w:styleId="ScheduleHeading">
    <w:name w:val="Schedule Heading"/>
    <w:basedOn w:val="Normal"/>
    <w:next w:val="Normal"/>
    <w:uiPriority w:val="4"/>
    <w:qFormat/>
    <w:rsid w:val="00733087"/>
    <w:pPr>
      <w:keepNext/>
    </w:pPr>
    <w:rPr>
      <w:b/>
      <w:sz w:val="32"/>
    </w:rPr>
  </w:style>
  <w:style w:type="paragraph" w:styleId="Sidhuvud">
    <w:name w:val="header"/>
    <w:aliases w:val="Header portrait"/>
    <w:basedOn w:val="Normal"/>
    <w:rsid w:val="000756FA"/>
    <w:pPr>
      <w:pBdr>
        <w:bottom w:val="single" w:sz="4" w:space="6" w:color="auto"/>
      </w:pBdr>
      <w:tabs>
        <w:tab w:val="right" w:pos="8505"/>
        <w:tab w:val="right" w:pos="9356"/>
      </w:tabs>
      <w:ind w:left="-851" w:right="-851"/>
    </w:pPr>
    <w:rPr>
      <w:sz w:val="20"/>
      <w:szCs w:val="20"/>
    </w:rPr>
  </w:style>
  <w:style w:type="character" w:styleId="Sidnummer">
    <w:name w:val="page number"/>
    <w:basedOn w:val="Standardstycketeckensnitt"/>
    <w:semiHidden/>
    <w:rsid w:val="009914DC"/>
    <w:rPr>
      <w:sz w:val="20"/>
    </w:rPr>
  </w:style>
  <w:style w:type="paragraph" w:styleId="Sidfot">
    <w:name w:val="footer"/>
    <w:basedOn w:val="Normal"/>
    <w:link w:val="SidfotChar"/>
    <w:uiPriority w:val="99"/>
    <w:rsid w:val="00A54B4C"/>
    <w:pPr>
      <w:tabs>
        <w:tab w:val="center" w:pos="4536"/>
        <w:tab w:val="right" w:pos="9072"/>
      </w:tabs>
      <w:spacing w:after="0"/>
    </w:pPr>
    <w:rPr>
      <w:rFonts w:ascii="Arial Narrow" w:hAnsi="Arial Narrow"/>
      <w:sz w:val="16"/>
    </w:rPr>
  </w:style>
  <w:style w:type="paragraph" w:customStyle="1" w:styleId="Headertitlepage">
    <w:name w:val="Header title page"/>
    <w:basedOn w:val="Normal"/>
    <w:rsid w:val="000756FA"/>
    <w:pPr>
      <w:ind w:left="-851" w:right="-851"/>
      <w:jc w:val="right"/>
    </w:pPr>
    <w:rPr>
      <w:sz w:val="20"/>
    </w:rPr>
  </w:style>
  <w:style w:type="table" w:customStyle="1" w:styleId="MSA">
    <w:name w:val="MSA"/>
    <w:basedOn w:val="Normaltabell"/>
    <w:rsid w:val="00B918A3"/>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0"/>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pct10" w:color="auto" w:fill="auto"/>
      </w:tcPr>
    </w:tblStylePr>
  </w:style>
  <w:style w:type="paragraph" w:styleId="Innehll1">
    <w:name w:val="toc 1"/>
    <w:basedOn w:val="Normal"/>
    <w:next w:val="Normal"/>
    <w:uiPriority w:val="39"/>
    <w:rsid w:val="004D193C"/>
    <w:pPr>
      <w:tabs>
        <w:tab w:val="left" w:pos="567"/>
        <w:tab w:val="right" w:leader="dot" w:pos="8789"/>
      </w:tabs>
      <w:spacing w:after="120"/>
      <w:ind w:left="567" w:hanging="567"/>
    </w:pPr>
  </w:style>
  <w:style w:type="paragraph" w:styleId="Innehll2">
    <w:name w:val="toc 2"/>
    <w:basedOn w:val="Innehll1"/>
    <w:next w:val="Normal"/>
    <w:uiPriority w:val="39"/>
    <w:rsid w:val="004D193C"/>
    <w:pPr>
      <w:tabs>
        <w:tab w:val="clear" w:pos="567"/>
        <w:tab w:val="left" w:pos="1134"/>
      </w:tabs>
      <w:ind w:left="1134"/>
    </w:pPr>
    <w:rPr>
      <w:szCs w:val="22"/>
    </w:rPr>
  </w:style>
  <w:style w:type="paragraph" w:styleId="Innehll3">
    <w:name w:val="toc 3"/>
    <w:basedOn w:val="Innehll2"/>
    <w:next w:val="Normal"/>
    <w:uiPriority w:val="39"/>
    <w:rsid w:val="0001108C"/>
    <w:pPr>
      <w:tabs>
        <w:tab w:val="clear" w:pos="1134"/>
        <w:tab w:val="left" w:pos="1701"/>
      </w:tabs>
      <w:ind w:left="1701"/>
    </w:pPr>
  </w:style>
  <w:style w:type="character" w:styleId="Hyperlnk">
    <w:name w:val="Hyperlink"/>
    <w:basedOn w:val="Standardstycketeckensnitt"/>
    <w:uiPriority w:val="99"/>
    <w:rsid w:val="00AB4E9B"/>
    <w:rPr>
      <w:color w:val="0000FF"/>
      <w:u w:val="single"/>
    </w:rPr>
  </w:style>
  <w:style w:type="paragraph" w:styleId="Adress-brev">
    <w:name w:val="envelope address"/>
    <w:basedOn w:val="Normal"/>
    <w:semiHidden/>
    <w:rsid w:val="00C74AF3"/>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semiHidden/>
    <w:rsid w:val="00C74AF3"/>
  </w:style>
  <w:style w:type="character" w:styleId="AnvndHyperlnk">
    <w:name w:val="FollowedHyperlink"/>
    <w:basedOn w:val="Standardstycketeckensnitt"/>
    <w:semiHidden/>
    <w:rsid w:val="00C74AF3"/>
    <w:rPr>
      <w:color w:val="606420"/>
      <w:u w:val="single"/>
    </w:rPr>
  </w:style>
  <w:style w:type="paragraph" w:styleId="Avslutandetext">
    <w:name w:val="Closing"/>
    <w:basedOn w:val="Normal"/>
    <w:semiHidden/>
    <w:rsid w:val="00C74AF3"/>
    <w:pPr>
      <w:ind w:left="4252"/>
    </w:pPr>
  </w:style>
  <w:style w:type="paragraph" w:styleId="Avsndaradress-brev">
    <w:name w:val="envelope return"/>
    <w:basedOn w:val="Normal"/>
    <w:semiHidden/>
    <w:rsid w:val="00C74AF3"/>
    <w:rPr>
      <w:rFonts w:ascii="Arial" w:hAnsi="Arial" w:cs="Arial"/>
      <w:sz w:val="20"/>
      <w:szCs w:val="20"/>
    </w:rPr>
  </w:style>
  <w:style w:type="paragraph" w:styleId="Ballongtext">
    <w:name w:val="Balloon Text"/>
    <w:basedOn w:val="Normal"/>
    <w:semiHidden/>
    <w:rsid w:val="00C74AF3"/>
    <w:rPr>
      <w:rFonts w:ascii="Tahoma" w:hAnsi="Tahoma" w:cs="Tahoma"/>
      <w:sz w:val="16"/>
      <w:szCs w:val="16"/>
    </w:rPr>
  </w:style>
  <w:style w:type="paragraph" w:styleId="Beskrivning">
    <w:name w:val="caption"/>
    <w:basedOn w:val="Normal"/>
    <w:next w:val="Normal"/>
    <w:semiHidden/>
    <w:qFormat/>
    <w:rsid w:val="00C74AF3"/>
    <w:rPr>
      <w:b/>
      <w:bCs/>
      <w:sz w:val="20"/>
      <w:szCs w:val="20"/>
    </w:rPr>
  </w:style>
  <w:style w:type="character" w:styleId="Betoning">
    <w:name w:val="Emphasis"/>
    <w:basedOn w:val="Standardstycketeckensnitt"/>
    <w:semiHidden/>
    <w:qFormat/>
    <w:rsid w:val="00C74AF3"/>
    <w:rPr>
      <w:i/>
      <w:iCs/>
    </w:rPr>
  </w:style>
  <w:style w:type="paragraph" w:styleId="Brdtext">
    <w:name w:val="Body Text"/>
    <w:basedOn w:val="Normal"/>
    <w:semiHidden/>
    <w:rsid w:val="00C74AF3"/>
    <w:pPr>
      <w:spacing w:after="120"/>
    </w:pPr>
  </w:style>
  <w:style w:type="paragraph" w:styleId="Brdtext2">
    <w:name w:val="Body Text 2"/>
    <w:basedOn w:val="Normal"/>
    <w:semiHidden/>
    <w:rsid w:val="00C74AF3"/>
    <w:pPr>
      <w:spacing w:after="120" w:line="480" w:lineRule="auto"/>
    </w:pPr>
  </w:style>
  <w:style w:type="paragraph" w:styleId="Brdtext3">
    <w:name w:val="Body Text 3"/>
    <w:basedOn w:val="Normal"/>
    <w:semiHidden/>
    <w:rsid w:val="00C74AF3"/>
    <w:pPr>
      <w:spacing w:after="120"/>
    </w:pPr>
    <w:rPr>
      <w:sz w:val="16"/>
      <w:szCs w:val="16"/>
    </w:rPr>
  </w:style>
  <w:style w:type="paragraph" w:styleId="Brdtextmedfrstaindrag">
    <w:name w:val="Body Text First Indent"/>
    <w:basedOn w:val="Brdtext"/>
    <w:semiHidden/>
    <w:rsid w:val="00C74AF3"/>
    <w:pPr>
      <w:ind w:firstLine="210"/>
    </w:pPr>
  </w:style>
  <w:style w:type="paragraph" w:styleId="Brdtextmedindrag">
    <w:name w:val="Body Text Indent"/>
    <w:basedOn w:val="Normal"/>
    <w:semiHidden/>
    <w:rsid w:val="00C74AF3"/>
    <w:pPr>
      <w:spacing w:after="120"/>
      <w:ind w:left="283"/>
    </w:pPr>
  </w:style>
  <w:style w:type="paragraph" w:styleId="Brdtextmedfrstaindrag2">
    <w:name w:val="Body Text First Indent 2"/>
    <w:basedOn w:val="Brdtextmedindrag"/>
    <w:semiHidden/>
    <w:rsid w:val="00C74AF3"/>
    <w:pPr>
      <w:ind w:firstLine="210"/>
    </w:pPr>
  </w:style>
  <w:style w:type="paragraph" w:styleId="Brdtextmedindrag2">
    <w:name w:val="Body Text Indent 2"/>
    <w:basedOn w:val="Normal"/>
    <w:semiHidden/>
    <w:rsid w:val="00C74AF3"/>
    <w:pPr>
      <w:spacing w:after="120" w:line="480" w:lineRule="auto"/>
      <w:ind w:left="283"/>
    </w:pPr>
  </w:style>
  <w:style w:type="paragraph" w:styleId="Brdtextmedindrag3">
    <w:name w:val="Body Text Indent 3"/>
    <w:basedOn w:val="Normal"/>
    <w:semiHidden/>
    <w:rsid w:val="00C74AF3"/>
    <w:pPr>
      <w:spacing w:after="120"/>
      <w:ind w:left="283"/>
    </w:pPr>
    <w:rPr>
      <w:sz w:val="16"/>
      <w:szCs w:val="16"/>
    </w:rPr>
  </w:style>
  <w:style w:type="paragraph" w:styleId="Citatfrteckning">
    <w:name w:val="table of authorities"/>
    <w:basedOn w:val="Normal"/>
    <w:next w:val="Normal"/>
    <w:semiHidden/>
    <w:rsid w:val="00C74AF3"/>
    <w:pPr>
      <w:ind w:left="240" w:hanging="240"/>
    </w:pPr>
  </w:style>
  <w:style w:type="paragraph" w:styleId="Citatfrteckningsrubrik">
    <w:name w:val="toa heading"/>
    <w:basedOn w:val="Normal"/>
    <w:next w:val="Normal"/>
    <w:semiHidden/>
    <w:rsid w:val="00C74AF3"/>
    <w:pPr>
      <w:spacing w:before="120"/>
    </w:pPr>
    <w:rPr>
      <w:rFonts w:ascii="Arial" w:hAnsi="Arial" w:cs="Arial"/>
      <w:b/>
      <w:bCs/>
    </w:rPr>
  </w:style>
  <w:style w:type="paragraph" w:styleId="Datum">
    <w:name w:val="Date"/>
    <w:basedOn w:val="Normal"/>
    <w:next w:val="Normal"/>
    <w:semiHidden/>
    <w:rsid w:val="00C74AF3"/>
  </w:style>
  <w:style w:type="table" w:styleId="Diskrettabell1">
    <w:name w:val="Table Subtle 1"/>
    <w:basedOn w:val="Normaltabell"/>
    <w:semiHidden/>
    <w:rsid w:val="00C74AF3"/>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74AF3"/>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semiHidden/>
    <w:rsid w:val="00C74AF3"/>
    <w:pPr>
      <w:shd w:val="clear" w:color="auto" w:fill="000080"/>
    </w:pPr>
    <w:rPr>
      <w:rFonts w:ascii="Tahoma" w:hAnsi="Tahoma" w:cs="Tahoma"/>
      <w:sz w:val="20"/>
      <w:szCs w:val="20"/>
    </w:rPr>
  </w:style>
  <w:style w:type="table" w:styleId="Eleganttabell">
    <w:name w:val="Table Elegant"/>
    <w:basedOn w:val="Normaltabell"/>
    <w:semiHidden/>
    <w:rsid w:val="00C74AF3"/>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74AF3"/>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74AF3"/>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74AF3"/>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C74AF3"/>
  </w:style>
  <w:style w:type="paragraph" w:styleId="Figurfrteckning">
    <w:name w:val="table of figures"/>
    <w:basedOn w:val="Normal"/>
    <w:next w:val="Normal"/>
    <w:semiHidden/>
    <w:rsid w:val="00C74AF3"/>
  </w:style>
  <w:style w:type="character" w:styleId="Fotnotsreferens">
    <w:name w:val="footnote reference"/>
    <w:basedOn w:val="Standardstycketeckensnitt"/>
    <w:uiPriority w:val="99"/>
    <w:rsid w:val="00C74AF3"/>
    <w:rPr>
      <w:vertAlign w:val="superscript"/>
    </w:rPr>
  </w:style>
  <w:style w:type="paragraph" w:styleId="Fotnotstext">
    <w:name w:val="footnote text"/>
    <w:basedOn w:val="Normal"/>
    <w:link w:val="FotnotstextChar"/>
    <w:uiPriority w:val="98"/>
    <w:rsid w:val="00695FB3"/>
    <w:pPr>
      <w:keepLines/>
      <w:spacing w:after="60"/>
    </w:pPr>
    <w:rPr>
      <w:sz w:val="20"/>
      <w:szCs w:val="20"/>
    </w:rPr>
  </w:style>
  <w:style w:type="table" w:styleId="Frgadtabell1">
    <w:name w:val="Table Colorful 1"/>
    <w:basedOn w:val="Normaltabell"/>
    <w:semiHidden/>
    <w:rsid w:val="00C74AF3"/>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74AF3"/>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74AF3"/>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C74AF3"/>
    <w:rPr>
      <w:i/>
      <w:iCs/>
    </w:rPr>
  </w:style>
  <w:style w:type="character" w:styleId="HTML-akronym">
    <w:name w:val="HTML Acronym"/>
    <w:basedOn w:val="Standardstycketeckensnitt"/>
    <w:semiHidden/>
    <w:rsid w:val="00C74AF3"/>
  </w:style>
  <w:style w:type="character" w:styleId="HTML-citat">
    <w:name w:val="HTML Cite"/>
    <w:basedOn w:val="Standardstycketeckensnitt"/>
    <w:semiHidden/>
    <w:rsid w:val="00C74AF3"/>
    <w:rPr>
      <w:i/>
      <w:iCs/>
    </w:rPr>
  </w:style>
  <w:style w:type="character" w:styleId="HTML-definition">
    <w:name w:val="HTML Definition"/>
    <w:basedOn w:val="Standardstycketeckensnitt"/>
    <w:semiHidden/>
    <w:rsid w:val="00C74AF3"/>
    <w:rPr>
      <w:i/>
      <w:iCs/>
    </w:rPr>
  </w:style>
  <w:style w:type="character" w:styleId="HTML-exempel">
    <w:name w:val="HTML Sample"/>
    <w:basedOn w:val="Standardstycketeckensnitt"/>
    <w:semiHidden/>
    <w:rsid w:val="00C74AF3"/>
    <w:rPr>
      <w:rFonts w:ascii="Courier New" w:hAnsi="Courier New" w:cs="Courier New"/>
    </w:rPr>
  </w:style>
  <w:style w:type="paragraph" w:styleId="HTML-frformaterad">
    <w:name w:val="HTML Preformatted"/>
    <w:basedOn w:val="Normal"/>
    <w:semiHidden/>
    <w:rsid w:val="00C74AF3"/>
    <w:rPr>
      <w:rFonts w:ascii="Courier New" w:hAnsi="Courier New" w:cs="Courier New"/>
      <w:sz w:val="20"/>
      <w:szCs w:val="20"/>
    </w:rPr>
  </w:style>
  <w:style w:type="character" w:styleId="HTML-kod">
    <w:name w:val="HTML Code"/>
    <w:basedOn w:val="Standardstycketeckensnitt"/>
    <w:semiHidden/>
    <w:rsid w:val="00C74AF3"/>
    <w:rPr>
      <w:rFonts w:ascii="Courier New" w:hAnsi="Courier New" w:cs="Courier New"/>
      <w:sz w:val="20"/>
      <w:szCs w:val="20"/>
    </w:rPr>
  </w:style>
  <w:style w:type="character" w:styleId="HTML-skrivmaskin">
    <w:name w:val="HTML Typewriter"/>
    <w:basedOn w:val="Standardstycketeckensnitt"/>
    <w:semiHidden/>
    <w:rsid w:val="00C74AF3"/>
    <w:rPr>
      <w:rFonts w:ascii="Courier New" w:hAnsi="Courier New" w:cs="Courier New"/>
      <w:sz w:val="20"/>
      <w:szCs w:val="20"/>
    </w:rPr>
  </w:style>
  <w:style w:type="character" w:styleId="HTML-tangentbord">
    <w:name w:val="HTML Keyboard"/>
    <w:basedOn w:val="Standardstycketeckensnitt"/>
    <w:semiHidden/>
    <w:rsid w:val="00C74AF3"/>
    <w:rPr>
      <w:rFonts w:ascii="Courier New" w:hAnsi="Courier New" w:cs="Courier New"/>
      <w:sz w:val="20"/>
      <w:szCs w:val="20"/>
    </w:rPr>
  </w:style>
  <w:style w:type="character" w:styleId="HTML-variabel">
    <w:name w:val="HTML Variable"/>
    <w:basedOn w:val="Standardstycketeckensnitt"/>
    <w:semiHidden/>
    <w:rsid w:val="00C74AF3"/>
    <w:rPr>
      <w:i/>
      <w:iCs/>
    </w:rPr>
  </w:style>
  <w:style w:type="paragraph" w:styleId="Index1">
    <w:name w:val="index 1"/>
    <w:basedOn w:val="Normal"/>
    <w:next w:val="Normal"/>
    <w:autoRedefine/>
    <w:semiHidden/>
    <w:rsid w:val="00C74AF3"/>
    <w:pPr>
      <w:ind w:left="240" w:hanging="240"/>
    </w:pPr>
  </w:style>
  <w:style w:type="paragraph" w:styleId="Index2">
    <w:name w:val="index 2"/>
    <w:basedOn w:val="Normal"/>
    <w:next w:val="Normal"/>
    <w:autoRedefine/>
    <w:semiHidden/>
    <w:rsid w:val="00C74AF3"/>
    <w:pPr>
      <w:ind w:left="480" w:hanging="240"/>
    </w:pPr>
  </w:style>
  <w:style w:type="paragraph" w:styleId="Index3">
    <w:name w:val="index 3"/>
    <w:basedOn w:val="Normal"/>
    <w:next w:val="Normal"/>
    <w:autoRedefine/>
    <w:semiHidden/>
    <w:rsid w:val="00C74AF3"/>
    <w:pPr>
      <w:ind w:left="720" w:hanging="240"/>
    </w:pPr>
  </w:style>
  <w:style w:type="paragraph" w:styleId="Index4">
    <w:name w:val="index 4"/>
    <w:basedOn w:val="Normal"/>
    <w:next w:val="Normal"/>
    <w:autoRedefine/>
    <w:semiHidden/>
    <w:rsid w:val="00C74AF3"/>
    <w:pPr>
      <w:ind w:left="960" w:hanging="240"/>
    </w:pPr>
  </w:style>
  <w:style w:type="paragraph" w:styleId="Index5">
    <w:name w:val="index 5"/>
    <w:basedOn w:val="Normal"/>
    <w:next w:val="Normal"/>
    <w:autoRedefine/>
    <w:semiHidden/>
    <w:rsid w:val="00C74AF3"/>
    <w:pPr>
      <w:ind w:left="1200" w:hanging="240"/>
    </w:pPr>
  </w:style>
  <w:style w:type="paragraph" w:styleId="Index6">
    <w:name w:val="index 6"/>
    <w:basedOn w:val="Normal"/>
    <w:next w:val="Normal"/>
    <w:autoRedefine/>
    <w:semiHidden/>
    <w:rsid w:val="00C74AF3"/>
    <w:pPr>
      <w:ind w:left="1440" w:hanging="240"/>
    </w:pPr>
  </w:style>
  <w:style w:type="paragraph" w:styleId="Index7">
    <w:name w:val="index 7"/>
    <w:basedOn w:val="Normal"/>
    <w:next w:val="Normal"/>
    <w:autoRedefine/>
    <w:semiHidden/>
    <w:rsid w:val="00C74AF3"/>
    <w:pPr>
      <w:ind w:left="1680" w:hanging="240"/>
    </w:pPr>
  </w:style>
  <w:style w:type="paragraph" w:styleId="Index8">
    <w:name w:val="index 8"/>
    <w:basedOn w:val="Normal"/>
    <w:next w:val="Normal"/>
    <w:autoRedefine/>
    <w:semiHidden/>
    <w:rsid w:val="00C74AF3"/>
    <w:pPr>
      <w:ind w:left="1920" w:hanging="240"/>
    </w:pPr>
  </w:style>
  <w:style w:type="paragraph" w:styleId="Index9">
    <w:name w:val="index 9"/>
    <w:basedOn w:val="Normal"/>
    <w:next w:val="Normal"/>
    <w:autoRedefine/>
    <w:semiHidden/>
    <w:rsid w:val="00C74AF3"/>
    <w:pPr>
      <w:ind w:left="2160" w:hanging="240"/>
    </w:pPr>
  </w:style>
  <w:style w:type="paragraph" w:styleId="Indexrubrik">
    <w:name w:val="index heading"/>
    <w:basedOn w:val="Normal"/>
    <w:next w:val="Index1"/>
    <w:semiHidden/>
    <w:rsid w:val="00C74AF3"/>
    <w:rPr>
      <w:rFonts w:ascii="Arial" w:hAnsi="Arial" w:cs="Arial"/>
      <w:b/>
      <w:bCs/>
    </w:rPr>
  </w:style>
  <w:style w:type="paragraph" w:styleId="Indragetstycke">
    <w:name w:val="Block Text"/>
    <w:basedOn w:val="Normal"/>
    <w:semiHidden/>
    <w:rsid w:val="00C74AF3"/>
    <w:pPr>
      <w:spacing w:after="120"/>
      <w:ind w:left="1440" w:right="1440"/>
    </w:pPr>
  </w:style>
  <w:style w:type="paragraph" w:styleId="Inledning">
    <w:name w:val="Salutation"/>
    <w:basedOn w:val="Normal"/>
    <w:next w:val="Normal"/>
    <w:semiHidden/>
    <w:rsid w:val="00C74AF3"/>
  </w:style>
  <w:style w:type="paragraph" w:styleId="Innehll4">
    <w:name w:val="toc 4"/>
    <w:basedOn w:val="Normal"/>
    <w:next w:val="Normal"/>
    <w:semiHidden/>
    <w:rsid w:val="004D193C"/>
    <w:pPr>
      <w:tabs>
        <w:tab w:val="left" w:pos="2552"/>
        <w:tab w:val="right" w:leader="dot" w:pos="8789"/>
      </w:tabs>
      <w:spacing w:after="120"/>
      <w:ind w:left="2552" w:hanging="851"/>
    </w:pPr>
  </w:style>
  <w:style w:type="paragraph" w:styleId="Innehll5">
    <w:name w:val="toc 5"/>
    <w:basedOn w:val="Normal"/>
    <w:next w:val="Normal"/>
    <w:semiHidden/>
    <w:rsid w:val="004D193C"/>
    <w:pPr>
      <w:tabs>
        <w:tab w:val="left" w:pos="3402"/>
        <w:tab w:val="right" w:leader="dot" w:pos="8789"/>
      </w:tabs>
      <w:spacing w:after="120"/>
      <w:ind w:left="3403" w:hanging="851"/>
    </w:pPr>
  </w:style>
  <w:style w:type="paragraph" w:styleId="Innehll6">
    <w:name w:val="toc 6"/>
    <w:basedOn w:val="Normal"/>
    <w:next w:val="Normal"/>
    <w:autoRedefine/>
    <w:semiHidden/>
    <w:rsid w:val="00C74AF3"/>
    <w:pPr>
      <w:ind w:left="1200"/>
    </w:pPr>
  </w:style>
  <w:style w:type="paragraph" w:styleId="Innehll7">
    <w:name w:val="toc 7"/>
    <w:basedOn w:val="Normal"/>
    <w:next w:val="Normal"/>
    <w:autoRedefine/>
    <w:semiHidden/>
    <w:rsid w:val="00C74AF3"/>
    <w:pPr>
      <w:ind w:left="1440"/>
    </w:pPr>
  </w:style>
  <w:style w:type="paragraph" w:styleId="Innehll8">
    <w:name w:val="toc 8"/>
    <w:basedOn w:val="Normal"/>
    <w:next w:val="Normal"/>
    <w:autoRedefine/>
    <w:semiHidden/>
    <w:rsid w:val="00C74AF3"/>
    <w:pPr>
      <w:ind w:left="1680"/>
    </w:pPr>
  </w:style>
  <w:style w:type="paragraph" w:styleId="Innehll9">
    <w:name w:val="toc 9"/>
    <w:basedOn w:val="Normal"/>
    <w:next w:val="Normal"/>
    <w:autoRedefine/>
    <w:semiHidden/>
    <w:rsid w:val="00C74AF3"/>
    <w:pPr>
      <w:ind w:left="1920"/>
    </w:pPr>
  </w:style>
  <w:style w:type="paragraph" w:styleId="Kommentarer">
    <w:name w:val="annotation text"/>
    <w:basedOn w:val="Normal"/>
    <w:semiHidden/>
    <w:rsid w:val="00C74AF3"/>
    <w:rPr>
      <w:sz w:val="20"/>
      <w:szCs w:val="20"/>
    </w:rPr>
  </w:style>
  <w:style w:type="character" w:styleId="Kommentarsreferens">
    <w:name w:val="annotation reference"/>
    <w:basedOn w:val="Standardstycketeckensnitt"/>
    <w:semiHidden/>
    <w:rsid w:val="00C74AF3"/>
    <w:rPr>
      <w:sz w:val="16"/>
      <w:szCs w:val="16"/>
    </w:rPr>
  </w:style>
  <w:style w:type="paragraph" w:styleId="Kommentarsmne">
    <w:name w:val="annotation subject"/>
    <w:basedOn w:val="Kommentarer"/>
    <w:next w:val="Kommentarer"/>
    <w:semiHidden/>
    <w:rsid w:val="00C74AF3"/>
    <w:rPr>
      <w:b/>
      <w:bCs/>
    </w:rPr>
  </w:style>
  <w:style w:type="paragraph" w:styleId="Lista">
    <w:name w:val="List"/>
    <w:basedOn w:val="Normal"/>
    <w:semiHidden/>
    <w:rsid w:val="00C74AF3"/>
    <w:pPr>
      <w:ind w:left="283" w:hanging="283"/>
    </w:pPr>
  </w:style>
  <w:style w:type="paragraph" w:styleId="Lista2">
    <w:name w:val="List 2"/>
    <w:basedOn w:val="Normal"/>
    <w:semiHidden/>
    <w:rsid w:val="00C74AF3"/>
    <w:pPr>
      <w:ind w:left="566" w:hanging="283"/>
    </w:pPr>
  </w:style>
  <w:style w:type="paragraph" w:styleId="Lista3">
    <w:name w:val="List 3"/>
    <w:basedOn w:val="Normal"/>
    <w:semiHidden/>
    <w:rsid w:val="00C74AF3"/>
    <w:pPr>
      <w:ind w:left="849" w:hanging="283"/>
    </w:pPr>
  </w:style>
  <w:style w:type="paragraph" w:styleId="Lista4">
    <w:name w:val="List 4"/>
    <w:basedOn w:val="Normal"/>
    <w:semiHidden/>
    <w:rsid w:val="00C74AF3"/>
    <w:pPr>
      <w:ind w:left="1132" w:hanging="283"/>
    </w:pPr>
  </w:style>
  <w:style w:type="paragraph" w:styleId="Lista5">
    <w:name w:val="List 5"/>
    <w:basedOn w:val="Normal"/>
    <w:semiHidden/>
    <w:rsid w:val="00C74AF3"/>
    <w:pPr>
      <w:ind w:left="1415" w:hanging="283"/>
    </w:pPr>
  </w:style>
  <w:style w:type="paragraph" w:styleId="Listafortstt">
    <w:name w:val="List Continue"/>
    <w:basedOn w:val="Normal"/>
    <w:semiHidden/>
    <w:rsid w:val="00C74AF3"/>
    <w:pPr>
      <w:spacing w:after="120"/>
      <w:ind w:left="283"/>
    </w:pPr>
  </w:style>
  <w:style w:type="paragraph" w:styleId="Listafortstt2">
    <w:name w:val="List Continue 2"/>
    <w:basedOn w:val="Normal"/>
    <w:semiHidden/>
    <w:rsid w:val="00C74AF3"/>
    <w:pPr>
      <w:spacing w:after="120"/>
      <w:ind w:left="566"/>
    </w:pPr>
  </w:style>
  <w:style w:type="paragraph" w:styleId="Listafortstt3">
    <w:name w:val="List Continue 3"/>
    <w:basedOn w:val="Normal"/>
    <w:semiHidden/>
    <w:rsid w:val="00C74AF3"/>
    <w:pPr>
      <w:spacing w:after="120"/>
      <w:ind w:left="849"/>
    </w:pPr>
  </w:style>
  <w:style w:type="paragraph" w:styleId="Listafortstt4">
    <w:name w:val="List Continue 4"/>
    <w:basedOn w:val="Normal"/>
    <w:semiHidden/>
    <w:rsid w:val="00C74AF3"/>
    <w:pPr>
      <w:spacing w:after="120"/>
      <w:ind w:left="1132"/>
    </w:pPr>
  </w:style>
  <w:style w:type="paragraph" w:styleId="Listafortstt5">
    <w:name w:val="List Continue 5"/>
    <w:basedOn w:val="Normal"/>
    <w:semiHidden/>
    <w:rsid w:val="00C74AF3"/>
    <w:pPr>
      <w:spacing w:after="120"/>
      <w:ind w:left="1415"/>
    </w:pPr>
  </w:style>
  <w:style w:type="paragraph" w:styleId="Makrotext">
    <w:name w:val="macro"/>
    <w:semiHidden/>
    <w:rsid w:val="00C74AF3"/>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lang w:val="en-GB"/>
    </w:rPr>
  </w:style>
  <w:style w:type="paragraph" w:styleId="Meddelanderubrik">
    <w:name w:val="Message Header"/>
    <w:basedOn w:val="Normal"/>
    <w:semiHidden/>
    <w:rsid w:val="00C74AF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Moderntabell">
    <w:name w:val="Table Contemporary"/>
    <w:basedOn w:val="Normaltabell"/>
    <w:semiHidden/>
    <w:rsid w:val="00C74AF3"/>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C74AF3"/>
  </w:style>
  <w:style w:type="paragraph" w:styleId="Normaltindrag">
    <w:name w:val="Normal Indent"/>
    <w:basedOn w:val="Normal"/>
    <w:semiHidden/>
    <w:rsid w:val="00C74AF3"/>
    <w:pPr>
      <w:ind w:left="1304"/>
    </w:pPr>
  </w:style>
  <w:style w:type="paragraph" w:styleId="Numreradlista">
    <w:name w:val="List Number"/>
    <w:basedOn w:val="Normal"/>
    <w:semiHidden/>
    <w:rsid w:val="00C74AF3"/>
    <w:pPr>
      <w:numPr>
        <w:numId w:val="1"/>
      </w:numPr>
    </w:pPr>
  </w:style>
  <w:style w:type="paragraph" w:styleId="Numreradlista2">
    <w:name w:val="List Number 2"/>
    <w:basedOn w:val="Normal"/>
    <w:semiHidden/>
    <w:rsid w:val="00C74AF3"/>
    <w:pPr>
      <w:numPr>
        <w:numId w:val="2"/>
      </w:numPr>
    </w:pPr>
  </w:style>
  <w:style w:type="paragraph" w:styleId="Numreradlista3">
    <w:name w:val="List Number 3"/>
    <w:basedOn w:val="Normal"/>
    <w:semiHidden/>
    <w:rsid w:val="00C74AF3"/>
    <w:pPr>
      <w:numPr>
        <w:numId w:val="3"/>
      </w:numPr>
    </w:pPr>
  </w:style>
  <w:style w:type="paragraph" w:styleId="Numreradlista4">
    <w:name w:val="List Number 4"/>
    <w:basedOn w:val="Normal"/>
    <w:semiHidden/>
    <w:rsid w:val="00C74AF3"/>
    <w:pPr>
      <w:numPr>
        <w:numId w:val="4"/>
      </w:numPr>
    </w:pPr>
  </w:style>
  <w:style w:type="paragraph" w:styleId="Numreradlista5">
    <w:name w:val="List Number 5"/>
    <w:basedOn w:val="Normal"/>
    <w:semiHidden/>
    <w:rsid w:val="00C74AF3"/>
    <w:pPr>
      <w:numPr>
        <w:numId w:val="5"/>
      </w:numPr>
    </w:pPr>
  </w:style>
  <w:style w:type="paragraph" w:styleId="Oformateradtext">
    <w:name w:val="Plain Text"/>
    <w:basedOn w:val="Normal"/>
    <w:link w:val="OformateradtextChar"/>
    <w:uiPriority w:val="99"/>
    <w:semiHidden/>
    <w:rsid w:val="00C74AF3"/>
    <w:rPr>
      <w:rFonts w:ascii="Courier New" w:hAnsi="Courier New" w:cs="Courier New"/>
      <w:sz w:val="20"/>
      <w:szCs w:val="20"/>
    </w:rPr>
  </w:style>
  <w:style w:type="table" w:styleId="Professionelltabell">
    <w:name w:val="Table Professional"/>
    <w:basedOn w:val="Normaltabell"/>
    <w:semiHidden/>
    <w:rsid w:val="00C74AF3"/>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C74AF3"/>
    <w:pPr>
      <w:numPr>
        <w:numId w:val="6"/>
      </w:numPr>
    </w:pPr>
  </w:style>
  <w:style w:type="paragraph" w:styleId="Punktlista2">
    <w:name w:val="List Bullet 2"/>
    <w:basedOn w:val="Normal"/>
    <w:semiHidden/>
    <w:rsid w:val="00C74AF3"/>
    <w:pPr>
      <w:numPr>
        <w:numId w:val="7"/>
      </w:numPr>
    </w:pPr>
  </w:style>
  <w:style w:type="paragraph" w:styleId="Punktlista3">
    <w:name w:val="List Bullet 3"/>
    <w:basedOn w:val="Normal"/>
    <w:semiHidden/>
    <w:rsid w:val="00C74AF3"/>
    <w:pPr>
      <w:numPr>
        <w:numId w:val="8"/>
      </w:numPr>
    </w:pPr>
  </w:style>
  <w:style w:type="paragraph" w:styleId="Punktlista4">
    <w:name w:val="List Bullet 4"/>
    <w:basedOn w:val="Normal"/>
    <w:semiHidden/>
    <w:rsid w:val="00C74AF3"/>
    <w:pPr>
      <w:numPr>
        <w:numId w:val="9"/>
      </w:numPr>
    </w:pPr>
  </w:style>
  <w:style w:type="paragraph" w:styleId="Punktlista5">
    <w:name w:val="List Bullet 5"/>
    <w:basedOn w:val="Normal"/>
    <w:semiHidden/>
    <w:rsid w:val="00C74AF3"/>
    <w:pPr>
      <w:numPr>
        <w:numId w:val="10"/>
      </w:numPr>
    </w:pPr>
  </w:style>
  <w:style w:type="character" w:styleId="Radnummer">
    <w:name w:val="line number"/>
    <w:basedOn w:val="Standardstycketeckensnitt"/>
    <w:semiHidden/>
    <w:rsid w:val="00C74AF3"/>
  </w:style>
  <w:style w:type="paragraph" w:styleId="Rubrik">
    <w:name w:val="Title"/>
    <w:basedOn w:val="Normal"/>
    <w:semiHidden/>
    <w:qFormat/>
    <w:rsid w:val="00C74AF3"/>
    <w:pPr>
      <w:spacing w:before="240" w:after="60"/>
      <w:jc w:val="center"/>
      <w:outlineLvl w:val="0"/>
    </w:pPr>
    <w:rPr>
      <w:rFonts w:ascii="Arial" w:hAnsi="Arial" w:cs="Arial"/>
      <w:b/>
      <w:bCs/>
      <w:kern w:val="28"/>
      <w:sz w:val="32"/>
      <w:szCs w:val="32"/>
    </w:rPr>
  </w:style>
  <w:style w:type="paragraph" w:styleId="Signatur">
    <w:name w:val="Signature"/>
    <w:basedOn w:val="Normal"/>
    <w:semiHidden/>
    <w:rsid w:val="00C74AF3"/>
    <w:pPr>
      <w:ind w:left="4252"/>
    </w:pPr>
  </w:style>
  <w:style w:type="paragraph" w:styleId="Slutnotstext">
    <w:name w:val="endnote text"/>
    <w:basedOn w:val="Normal"/>
    <w:semiHidden/>
    <w:rsid w:val="00C74AF3"/>
    <w:rPr>
      <w:sz w:val="20"/>
      <w:szCs w:val="20"/>
    </w:rPr>
  </w:style>
  <w:style w:type="character" w:styleId="Slutnotsreferens">
    <w:name w:val="endnote reference"/>
    <w:basedOn w:val="Standardstycketeckensnitt"/>
    <w:semiHidden/>
    <w:rsid w:val="00C74AF3"/>
    <w:rPr>
      <w:vertAlign w:val="superscript"/>
    </w:rPr>
  </w:style>
  <w:style w:type="table" w:styleId="Standardtabell1">
    <w:name w:val="Table Classic 1"/>
    <w:basedOn w:val="Normaltabell"/>
    <w:semiHidden/>
    <w:rsid w:val="00C74AF3"/>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74AF3"/>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74AF3"/>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74AF3"/>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C74AF3"/>
    <w:rPr>
      <w:b/>
      <w:bCs/>
    </w:rPr>
  </w:style>
  <w:style w:type="table" w:styleId="Tabellmed3D-effekter1">
    <w:name w:val="Table 3D effects 1"/>
    <w:basedOn w:val="Normaltabell"/>
    <w:semiHidden/>
    <w:rsid w:val="00C74AF3"/>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74AF3"/>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74AF3"/>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74AF3"/>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74AF3"/>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74AF3"/>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74AF3"/>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74AF3"/>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74AF3"/>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74AF3"/>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74AF3"/>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74AF3"/>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74AF3"/>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74AF3"/>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74AF3"/>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74AF3"/>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C74AF3"/>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C74AF3"/>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74AF3"/>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74AF3"/>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74AF3"/>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74AF3"/>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74AF3"/>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74AF3"/>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74AF3"/>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74AF3"/>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semiHidden/>
    <w:qFormat/>
    <w:rsid w:val="00C74AF3"/>
    <w:pPr>
      <w:spacing w:after="60"/>
      <w:jc w:val="center"/>
      <w:outlineLvl w:val="1"/>
    </w:pPr>
    <w:rPr>
      <w:rFonts w:ascii="Arial" w:hAnsi="Arial" w:cs="Arial"/>
    </w:rPr>
  </w:style>
  <w:style w:type="table" w:styleId="Webbtabell1">
    <w:name w:val="Table Web 1"/>
    <w:basedOn w:val="Normaltabell"/>
    <w:semiHidden/>
    <w:rsid w:val="00C74AF3"/>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74AF3"/>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74AF3"/>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landscape">
    <w:name w:val="Header landscape"/>
    <w:basedOn w:val="Sidhuvud"/>
    <w:rsid w:val="000756FA"/>
    <w:pPr>
      <w:tabs>
        <w:tab w:val="clear" w:pos="8505"/>
        <w:tab w:val="clear" w:pos="9356"/>
        <w:tab w:val="right" w:pos="13721"/>
        <w:tab w:val="right" w:pos="14572"/>
      </w:tabs>
      <w:ind w:left="-567" w:right="-567"/>
    </w:pPr>
  </w:style>
  <w:style w:type="paragraph" w:customStyle="1" w:styleId="Listlevel2i">
    <w:name w:val="List level 2 (i)"/>
    <w:uiPriority w:val="1"/>
    <w:qFormat/>
    <w:rsid w:val="00BA7A5D"/>
    <w:pPr>
      <w:numPr>
        <w:ilvl w:val="1"/>
        <w:numId w:val="13"/>
      </w:numPr>
      <w:spacing w:after="240"/>
    </w:pPr>
    <w:rPr>
      <w:sz w:val="22"/>
      <w:szCs w:val="24"/>
      <w:lang w:val="en-GB"/>
    </w:rPr>
  </w:style>
  <w:style w:type="paragraph" w:customStyle="1" w:styleId="Listlevel3A">
    <w:name w:val="List level 3  (A)"/>
    <w:uiPriority w:val="1"/>
    <w:qFormat/>
    <w:rsid w:val="00BA7A5D"/>
    <w:pPr>
      <w:numPr>
        <w:ilvl w:val="2"/>
        <w:numId w:val="13"/>
      </w:numPr>
      <w:spacing w:after="240"/>
    </w:pPr>
    <w:rPr>
      <w:sz w:val="22"/>
      <w:szCs w:val="24"/>
      <w:lang w:val="en-GB"/>
    </w:rPr>
  </w:style>
  <w:style w:type="paragraph" w:customStyle="1" w:styleId="ScheduleHeading1">
    <w:name w:val="Schedule Heading 1"/>
    <w:next w:val="NormalwithindentAltD"/>
    <w:uiPriority w:val="5"/>
    <w:qFormat/>
    <w:rsid w:val="00BA7A5D"/>
    <w:pPr>
      <w:keepNext/>
      <w:numPr>
        <w:ilvl w:val="2"/>
        <w:numId w:val="14"/>
      </w:numPr>
      <w:spacing w:before="240" w:after="240"/>
    </w:pPr>
    <w:rPr>
      <w:b/>
      <w:sz w:val="28"/>
      <w:szCs w:val="22"/>
      <w:lang w:val="en-GB"/>
    </w:rPr>
  </w:style>
  <w:style w:type="paragraph" w:customStyle="1" w:styleId="ScheduleHeading2">
    <w:name w:val="Schedule Heading 2"/>
    <w:next w:val="NormalwithindentAltD"/>
    <w:rsid w:val="00B33567"/>
    <w:pPr>
      <w:keepNext/>
      <w:numPr>
        <w:ilvl w:val="3"/>
        <w:numId w:val="14"/>
      </w:numPr>
      <w:spacing w:after="240"/>
    </w:pPr>
    <w:rPr>
      <w:b/>
      <w:sz w:val="22"/>
      <w:szCs w:val="24"/>
      <w:lang w:val="en-GB"/>
    </w:rPr>
  </w:style>
  <w:style w:type="paragraph" w:customStyle="1" w:styleId="ScheduleHeading3">
    <w:name w:val="Schedule Heading 3"/>
    <w:next w:val="NormalwithindentAltD"/>
    <w:rsid w:val="00B33567"/>
    <w:pPr>
      <w:keepNext/>
      <w:numPr>
        <w:ilvl w:val="4"/>
        <w:numId w:val="14"/>
      </w:numPr>
      <w:spacing w:after="240"/>
    </w:pPr>
    <w:rPr>
      <w:sz w:val="22"/>
      <w:szCs w:val="24"/>
      <w:u w:val="single"/>
      <w:lang w:val="en-GB"/>
    </w:rPr>
  </w:style>
  <w:style w:type="paragraph" w:customStyle="1" w:styleId="ScheduleHeadingToC">
    <w:name w:val="Schedule Heading ToC"/>
    <w:basedOn w:val="Normal"/>
    <w:next w:val="Normal"/>
    <w:semiHidden/>
    <w:rsid w:val="00CE0FF0"/>
    <w:pPr>
      <w:keepNext/>
      <w:numPr>
        <w:ilvl w:val="1"/>
        <w:numId w:val="14"/>
      </w:numPr>
    </w:pPr>
    <w:rPr>
      <w:b/>
      <w:sz w:val="32"/>
    </w:rPr>
  </w:style>
  <w:style w:type="paragraph" w:customStyle="1" w:styleId="List-sublist">
    <w:name w:val="List - (sublist)"/>
    <w:basedOn w:val="ListAlt7"/>
    <w:uiPriority w:val="3"/>
    <w:semiHidden/>
    <w:qFormat/>
    <w:rsid w:val="00D24E49"/>
    <w:pPr>
      <w:numPr>
        <w:ilvl w:val="1"/>
      </w:numPr>
    </w:pPr>
  </w:style>
  <w:style w:type="table" w:customStyle="1" w:styleId="Adresstabell1">
    <w:name w:val="Adresstabell1"/>
    <w:basedOn w:val="Normaltabell"/>
    <w:rsid w:val="00BF6304"/>
    <w:rPr>
      <w:lang w:eastAsia="zh-CN"/>
    </w:rPr>
    <w:tblPr/>
  </w:style>
  <w:style w:type="paragraph" w:customStyle="1" w:styleId="QuotationAltC">
    <w:name w:val="Quotation Alt+C"/>
    <w:qFormat/>
    <w:rsid w:val="000361E8"/>
    <w:pPr>
      <w:spacing w:after="360"/>
      <w:ind w:left="1588" w:right="578"/>
    </w:pPr>
    <w:rPr>
      <w:szCs w:val="24"/>
      <w:lang w:val="en-GB"/>
    </w:rPr>
  </w:style>
  <w:style w:type="paragraph" w:customStyle="1" w:styleId="Tabletext-Normal">
    <w:name w:val="Table text - Normal"/>
    <w:basedOn w:val="Normal"/>
    <w:qFormat/>
    <w:rsid w:val="00741A9E"/>
    <w:pPr>
      <w:spacing w:before="120" w:after="120"/>
    </w:pPr>
  </w:style>
  <w:style w:type="paragraph" w:customStyle="1" w:styleId="AODocTxt">
    <w:name w:val="AODocTxt"/>
    <w:basedOn w:val="Normal"/>
    <w:rsid w:val="00933FA0"/>
    <w:pPr>
      <w:spacing w:before="240" w:after="0" w:line="260" w:lineRule="atLeast"/>
      <w:jc w:val="both"/>
    </w:pPr>
    <w:rPr>
      <w:rFonts w:eastAsiaTheme="minorHAnsi"/>
      <w:szCs w:val="22"/>
      <w:lang w:eastAsia="en-US"/>
    </w:rPr>
  </w:style>
  <w:style w:type="character" w:customStyle="1" w:styleId="FotnotstextChar">
    <w:name w:val="Fotnotstext Char"/>
    <w:basedOn w:val="Standardstycketeckensnitt"/>
    <w:link w:val="Fotnotstext"/>
    <w:uiPriority w:val="98"/>
    <w:rsid w:val="00933FA0"/>
    <w:rPr>
      <w:lang w:val="en-GB"/>
    </w:rPr>
  </w:style>
  <w:style w:type="paragraph" w:customStyle="1" w:styleId="AOListNumber">
    <w:name w:val="AOListNumber"/>
    <w:basedOn w:val="Normal"/>
    <w:rsid w:val="00933FA0"/>
    <w:pPr>
      <w:numPr>
        <w:numId w:val="16"/>
      </w:numPr>
      <w:tabs>
        <w:tab w:val="clear" w:pos="720"/>
      </w:tabs>
      <w:spacing w:before="240" w:after="0" w:line="260" w:lineRule="atLeast"/>
      <w:jc w:val="both"/>
    </w:pPr>
    <w:rPr>
      <w:rFonts w:eastAsiaTheme="minorHAnsi"/>
      <w:szCs w:val="22"/>
      <w:lang w:eastAsia="en-US"/>
    </w:rPr>
  </w:style>
  <w:style w:type="paragraph" w:styleId="Liststycke">
    <w:name w:val="List Paragraph"/>
    <w:basedOn w:val="Normal"/>
    <w:uiPriority w:val="34"/>
    <w:qFormat/>
    <w:rsid w:val="00933FA0"/>
    <w:pPr>
      <w:spacing w:after="0" w:line="260" w:lineRule="atLeast"/>
      <w:ind w:left="720"/>
      <w:contextualSpacing/>
    </w:pPr>
    <w:rPr>
      <w:rFonts w:asciiTheme="minorHAnsi" w:eastAsiaTheme="minorHAnsi" w:hAnsiTheme="minorHAnsi" w:cstheme="minorBidi"/>
      <w:szCs w:val="22"/>
      <w:lang w:eastAsia="en-US"/>
    </w:rPr>
  </w:style>
  <w:style w:type="character" w:customStyle="1" w:styleId="SidfotChar">
    <w:name w:val="Sidfot Char"/>
    <w:basedOn w:val="Standardstycketeckensnitt"/>
    <w:link w:val="Sidfot"/>
    <w:uiPriority w:val="99"/>
    <w:rsid w:val="006D6010"/>
    <w:rPr>
      <w:rFonts w:ascii="Arial Narrow" w:hAnsi="Arial Narrow"/>
      <w:sz w:val="16"/>
      <w:szCs w:val="24"/>
      <w:lang w:val="en-GB"/>
    </w:rPr>
  </w:style>
  <w:style w:type="character" w:customStyle="1" w:styleId="OformateradtextChar">
    <w:name w:val="Oformaterad text Char"/>
    <w:basedOn w:val="Standardstycketeckensnitt"/>
    <w:link w:val="Oformateradtext"/>
    <w:uiPriority w:val="99"/>
    <w:semiHidden/>
    <w:rsid w:val="0061350B"/>
    <w:rPr>
      <w:rFonts w:ascii="Courier New" w:hAnsi="Courier New" w:cs="Courier New"/>
      <w:lang w:val="en-GB"/>
    </w:rPr>
  </w:style>
  <w:style w:type="character" w:customStyle="1" w:styleId="Olstomnmnande1">
    <w:name w:val="Olöst omnämnande1"/>
    <w:basedOn w:val="Standardstycketeckensnitt"/>
    <w:uiPriority w:val="99"/>
    <w:semiHidden/>
    <w:unhideWhenUsed/>
    <w:rsid w:val="007B1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931344">
      <w:bodyDiv w:val="1"/>
      <w:marLeft w:val="0"/>
      <w:marRight w:val="0"/>
      <w:marTop w:val="0"/>
      <w:marBottom w:val="0"/>
      <w:divBdr>
        <w:top w:val="none" w:sz="0" w:space="0" w:color="auto"/>
        <w:left w:val="none" w:sz="0" w:space="0" w:color="auto"/>
        <w:bottom w:val="none" w:sz="0" w:space="0" w:color="auto"/>
        <w:right w:val="none" w:sz="0" w:space="0" w:color="auto"/>
      </w:divBdr>
    </w:div>
    <w:div w:id="1072386504">
      <w:bodyDiv w:val="1"/>
      <w:marLeft w:val="0"/>
      <w:marRight w:val="0"/>
      <w:marTop w:val="0"/>
      <w:marBottom w:val="0"/>
      <w:divBdr>
        <w:top w:val="none" w:sz="0" w:space="0" w:color="auto"/>
        <w:left w:val="none" w:sz="0" w:space="0" w:color="auto"/>
        <w:bottom w:val="none" w:sz="0" w:space="0" w:color="auto"/>
        <w:right w:val="none" w:sz="0" w:space="0" w:color="auto"/>
      </w:divBdr>
    </w:div>
    <w:div w:id="1255551472">
      <w:bodyDiv w:val="1"/>
      <w:marLeft w:val="0"/>
      <w:marRight w:val="0"/>
      <w:marTop w:val="0"/>
      <w:marBottom w:val="0"/>
      <w:divBdr>
        <w:top w:val="none" w:sz="0" w:space="0" w:color="auto"/>
        <w:left w:val="none" w:sz="0" w:space="0" w:color="auto"/>
        <w:bottom w:val="none" w:sz="0" w:space="0" w:color="auto"/>
        <w:right w:val="none" w:sz="0" w:space="0" w:color="auto"/>
      </w:divBdr>
    </w:div>
    <w:div w:id="194873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ndhandlarna.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ica@fondhandlarna.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esma.europa.eu/sites/default/files/library/esma35-43-620_guidelines_on_mifid_ii_product_governance_requirements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SAMallar\Dokumentmallar\Generic%20p%20UK.dotm" TargetMode="External"/></Relationships>
</file>

<file path=word/theme/theme1.xml><?xml version="1.0" encoding="utf-8"?>
<a:theme xmlns:a="http://schemas.openxmlformats.org/drawingml/2006/main" name="Office Theme">
  <a:themeElements>
    <a:clrScheme name="MSA">
      <a:dk1>
        <a:sysClr val="windowText" lastClr="000000"/>
      </a:dk1>
      <a:lt1>
        <a:sysClr val="window" lastClr="FFFFFF"/>
      </a:lt1>
      <a:dk2>
        <a:srgbClr val="1F497D"/>
      </a:dk2>
      <a:lt2>
        <a:srgbClr val="EEECE1"/>
      </a:lt2>
      <a:accent1>
        <a:srgbClr val="E8D19D"/>
      </a:accent1>
      <a:accent2>
        <a:srgbClr val="8B8178"/>
      </a:accent2>
      <a:accent3>
        <a:srgbClr val="E4E9E2"/>
      </a:accent3>
      <a:accent4>
        <a:srgbClr val="A27956"/>
      </a:accent4>
      <a:accent5>
        <a:srgbClr val="F9A34D"/>
      </a:accent5>
      <a:accent6>
        <a:srgbClr val="662046"/>
      </a:accent6>
      <a:hlink>
        <a:srgbClr val="474B78"/>
      </a:hlink>
      <a:folHlink>
        <a:srgbClr val="7F7F7F"/>
      </a:folHlink>
    </a:clrScheme>
    <a:fontScheme name="MSA">
      <a:majorFont>
        <a:latin typeface="Times New Roman"/>
        <a:ea typeface="SimSun"/>
        <a:cs typeface=""/>
      </a:majorFont>
      <a:minorFont>
        <a:latin typeface="Times New Roman"/>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BFBAB5"/>
        </a:solidFill>
        <a:ln w="6350"/>
      </a:spPr>
      <a:bodyPr rtlCol="0" anchor="ctr"/>
      <a:lstStyle/>
      <a:style>
        <a:lnRef idx="2">
          <a:schemeClr val="dk1"/>
        </a:lnRef>
        <a:fillRef idx="1">
          <a:schemeClr val="lt1"/>
        </a:fillRef>
        <a:effectRef idx="0">
          <a:schemeClr val="dk1"/>
        </a:effectRef>
        <a:fontRef idx="minor">
          <a:schemeClr val="dk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2" ma:contentTypeDescription="Skapa ett nytt dokument." ma:contentTypeScope="" ma:versionID="38c9500dab9ef0b12e40972db2d32ff2">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2344731711bb7f6bef34c30e71a3cd78"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A3659-D025-435B-AD1F-6068A5DFD432}"/>
</file>

<file path=customXml/itemProps2.xml><?xml version="1.0" encoding="utf-8"?>
<ds:datastoreItem xmlns:ds="http://schemas.openxmlformats.org/officeDocument/2006/customXml" ds:itemID="{C45B396A-579A-4499-9FF8-F5D77C412E9B}">
  <ds:schemaRefs>
    <ds:schemaRef ds:uri="http://schemas.microsoft.com/sharepoint/v3/contenttype/forms"/>
  </ds:schemaRefs>
</ds:datastoreItem>
</file>

<file path=customXml/itemProps3.xml><?xml version="1.0" encoding="utf-8"?>
<ds:datastoreItem xmlns:ds="http://schemas.openxmlformats.org/officeDocument/2006/customXml" ds:itemID="{4350C6CA-E9E1-4DB5-901C-FB62D2D6E5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AA0C9D-5400-452B-9DE4-08EDF30B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p UK</Template>
  <TotalTime>0</TotalTime>
  <Pages>3</Pages>
  <Words>1968</Words>
  <Characters>10433</Characters>
  <Application>Microsoft Office Word</Application>
  <DocSecurity>0</DocSecurity>
  <Lines>86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Mannheimer Swartling Advokatbyrå</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Nilsson</dc:creator>
  <dc:description>Version 4.4.4</dc:description>
  <cp:lastModifiedBy>Enel Lundblad</cp:lastModifiedBy>
  <cp:revision>2</cp:revision>
  <cp:lastPrinted>2018-04-05T19:11:00Z</cp:lastPrinted>
  <dcterms:created xsi:type="dcterms:W3CDTF">2020-09-17T12:36:00Z</dcterms:created>
  <dcterms:modified xsi:type="dcterms:W3CDTF">2020-09-17T12:36:00Z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ntry template">
    <vt:lpwstr>Sweden</vt:lpwstr>
  </property>
  <property fmtid="{D5CDD505-2E9C-101B-9397-08002B2CF9AE}" pid="3" name="Category">
    <vt:lpwstr>Generic</vt:lpwstr>
  </property>
  <property fmtid="{D5CDD505-2E9C-101B-9397-08002B2CF9AE}" pid="4" name="Document">
    <vt:lpwstr>Generic p</vt:lpwstr>
  </property>
  <property fmtid="{D5CDD505-2E9C-101B-9397-08002B2CF9AE}" pid="5" name="Language">
    <vt:lpwstr>English (UK)</vt:lpwstr>
  </property>
  <property fmtid="{D5CDD505-2E9C-101B-9397-08002B2CF9AE}" pid="6" name="Name">
    <vt:lpwstr>FirstName LastName</vt:lpwstr>
  </property>
  <property fmtid="{D5CDD505-2E9C-101B-9397-08002B2CF9AE}" pid="7" name="Country">
    <vt:lpwstr>Sweden</vt:lpwstr>
  </property>
  <property fmtid="{D5CDD505-2E9C-101B-9397-08002B2CF9AE}" pid="8" name="Office">
    <vt:lpwstr>Stockholm</vt:lpwstr>
  </property>
  <property fmtid="{D5CDD505-2E9C-101B-9397-08002B2CF9AE}" pid="9" name="ID">
    <vt:lpwstr>LEGAL#16387510v15</vt:lpwstr>
  </property>
  <property fmtid="{D5CDD505-2E9C-101B-9397-08002B2CF9AE}" pid="10" name="Removed">
    <vt:lpwstr>False</vt:lpwstr>
  </property>
  <property fmtid="{D5CDD505-2E9C-101B-9397-08002B2CF9AE}" pid="11" name="ContentTypeId">
    <vt:lpwstr>0x0101002B840543499B0C478C3086ADA108ADC3</vt:lpwstr>
  </property>
</Properties>
</file>