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672A" w14:textId="77777777" w:rsidR="00AF015D" w:rsidRPr="00763875" w:rsidRDefault="00763875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763875">
        <w:rPr>
          <w:rFonts w:ascii="Arial" w:hAnsi="Arial" w:cs="Arial"/>
          <w:b/>
          <w:sz w:val="28"/>
          <w:szCs w:val="28"/>
          <w:lang w:val="en-GB"/>
        </w:rPr>
        <w:t xml:space="preserve">Swedish Securities Dealers Association </w:t>
      </w:r>
    </w:p>
    <w:p w14:paraId="7405A453" w14:textId="77777777" w:rsidR="00AF015D" w:rsidRPr="00CB46DC" w:rsidRDefault="00763875" w:rsidP="00DB391B">
      <w:pPr>
        <w:rPr>
          <w:rFonts w:ascii="Arial" w:hAnsi="Arial" w:cs="Arial"/>
          <w:b/>
          <w:lang w:val="en-US"/>
        </w:rPr>
      </w:pPr>
      <w:r w:rsidRPr="00CB46DC">
        <w:rPr>
          <w:rFonts w:ascii="Arial" w:hAnsi="Arial" w:cs="Arial"/>
          <w:b/>
          <w:lang w:val="en-US"/>
        </w:rPr>
        <w:t xml:space="preserve">8 July 2013 </w:t>
      </w:r>
      <w:r w:rsidR="00DB391B" w:rsidRPr="00CB46DC">
        <w:rPr>
          <w:rFonts w:ascii="Arial" w:hAnsi="Arial" w:cs="Arial"/>
          <w:b/>
          <w:lang w:val="en-US"/>
        </w:rPr>
        <w:t xml:space="preserve"> </w:t>
      </w:r>
    </w:p>
    <w:p w14:paraId="177DFDEA" w14:textId="77777777" w:rsidR="00C60266" w:rsidRPr="00CB46DC" w:rsidRDefault="00C60266">
      <w:pPr>
        <w:rPr>
          <w:rFonts w:ascii="Arial" w:hAnsi="Arial" w:cs="Arial"/>
          <w:b/>
          <w:lang w:val="en-US"/>
        </w:rPr>
      </w:pPr>
    </w:p>
    <w:p w14:paraId="5782B3ED" w14:textId="77777777" w:rsidR="00C60266" w:rsidRPr="00CB46DC" w:rsidRDefault="00C60266">
      <w:pPr>
        <w:rPr>
          <w:rFonts w:ascii="Arial" w:hAnsi="Arial" w:cs="Arial"/>
          <w:b/>
          <w:lang w:val="en-US"/>
        </w:rPr>
      </w:pPr>
    </w:p>
    <w:p w14:paraId="4C3D7499" w14:textId="77777777" w:rsidR="00DD5CE6" w:rsidRPr="00CB46DC" w:rsidRDefault="00DD5CE6">
      <w:pPr>
        <w:rPr>
          <w:rFonts w:ascii="Arial" w:hAnsi="Arial" w:cs="Arial"/>
          <w:b/>
          <w:lang w:val="en-US"/>
        </w:rPr>
      </w:pPr>
    </w:p>
    <w:p w14:paraId="6CAEE1D4" w14:textId="77777777" w:rsidR="00F77A47" w:rsidRPr="00763875" w:rsidRDefault="00763875" w:rsidP="00763875">
      <w:pPr>
        <w:rPr>
          <w:rFonts w:ascii="Arial" w:hAnsi="Arial" w:cs="Arial"/>
          <w:b/>
          <w:lang w:val="en-GB"/>
        </w:rPr>
      </w:pPr>
      <w:r w:rsidRPr="00763875">
        <w:rPr>
          <w:rFonts w:ascii="Arial" w:hAnsi="Arial" w:cs="Arial"/>
          <w:b/>
          <w:lang w:val="en-GB"/>
        </w:rPr>
        <w:t xml:space="preserve">RULES REGARDING PORTFOLIO </w:t>
      </w:r>
      <w:r w:rsidR="002F17B2">
        <w:rPr>
          <w:rFonts w:ascii="Arial" w:hAnsi="Arial" w:cs="Arial"/>
          <w:b/>
          <w:lang w:val="en-GB"/>
        </w:rPr>
        <w:t>RE</w:t>
      </w:r>
      <w:r w:rsidRPr="00763875">
        <w:rPr>
          <w:rFonts w:ascii="Arial" w:hAnsi="Arial" w:cs="Arial"/>
          <w:b/>
          <w:lang w:val="en-GB"/>
        </w:rPr>
        <w:t xml:space="preserve">CONCILIATION AND DISPUTE RESOLUTION IN ACCORDANCE WITH EMIR </w:t>
      </w:r>
      <w:r>
        <w:rPr>
          <w:rFonts w:ascii="Arial" w:hAnsi="Arial" w:cs="Arial"/>
          <w:b/>
          <w:lang w:val="en-GB"/>
        </w:rPr>
        <w:t>WITH RESPECT TO OTC DERIVATIVE CONTRACTS</w:t>
      </w:r>
    </w:p>
    <w:p w14:paraId="0C1A7077" w14:textId="77777777" w:rsidR="00162D4A" w:rsidRPr="00CB46DC" w:rsidRDefault="00763875">
      <w:pPr>
        <w:rPr>
          <w:rFonts w:ascii="Arial" w:hAnsi="Arial" w:cs="Arial"/>
          <w:b/>
          <w:lang w:val="en-US"/>
        </w:rPr>
      </w:pPr>
      <w:r w:rsidRPr="00CB46DC">
        <w:rPr>
          <w:rFonts w:ascii="Arial" w:hAnsi="Arial" w:cs="Arial"/>
          <w:b/>
          <w:lang w:val="en-US"/>
        </w:rPr>
        <w:t xml:space="preserve">Introduction </w:t>
      </w:r>
    </w:p>
    <w:p w14:paraId="6D592ED0" w14:textId="77777777" w:rsidR="00F31CB1" w:rsidRPr="00763875" w:rsidRDefault="00F31CB1" w:rsidP="008862F3">
      <w:pPr>
        <w:spacing w:after="0"/>
        <w:rPr>
          <w:rFonts w:ascii="Arial" w:hAnsi="Arial" w:cs="Arial"/>
          <w:lang w:val="en-GB"/>
        </w:rPr>
      </w:pPr>
      <w:r w:rsidRPr="00763875">
        <w:rPr>
          <w:rFonts w:ascii="Arial" w:hAnsi="Arial" w:cs="Arial"/>
          <w:lang w:val="en-GB"/>
        </w:rPr>
        <w:t>EMIR (</w:t>
      </w:r>
      <w:r w:rsidR="00763875" w:rsidRPr="00763875">
        <w:rPr>
          <w:rFonts w:ascii="Arial" w:hAnsi="Arial" w:cs="Arial"/>
          <w:lang w:val="en-GB"/>
        </w:rPr>
        <w:t xml:space="preserve">the </w:t>
      </w:r>
      <w:r w:rsidRPr="00763875">
        <w:rPr>
          <w:rFonts w:ascii="Arial" w:hAnsi="Arial" w:cs="Arial"/>
          <w:lang w:val="en-GB"/>
        </w:rPr>
        <w:t>European Market Infrastructure Regulation)</w:t>
      </w:r>
      <w:r w:rsidR="00DE1FBB">
        <w:rPr>
          <w:rStyle w:val="Fotnotsreferens"/>
          <w:rFonts w:ascii="Arial" w:hAnsi="Arial" w:cs="Arial"/>
        </w:rPr>
        <w:footnoteReference w:id="1"/>
      </w:r>
      <w:r w:rsidR="00763875" w:rsidRPr="00763875">
        <w:rPr>
          <w:rFonts w:ascii="Arial" w:hAnsi="Arial" w:cs="Arial"/>
          <w:lang w:val="en-GB"/>
        </w:rPr>
        <w:t xml:space="preserve"> </w:t>
      </w:r>
      <w:r w:rsidR="008862F3">
        <w:rPr>
          <w:rFonts w:ascii="Arial" w:hAnsi="Arial" w:cs="Arial"/>
          <w:lang w:val="en-GB"/>
        </w:rPr>
        <w:t>constitutes</w:t>
      </w:r>
      <w:r w:rsidR="00763875" w:rsidRPr="00763875">
        <w:rPr>
          <w:rFonts w:ascii="Arial" w:hAnsi="Arial" w:cs="Arial"/>
          <w:lang w:val="en-GB"/>
        </w:rPr>
        <w:t xml:space="preserve"> an EU regulatory structure which, among other things, governs trading in and clearing of </w:t>
      </w:r>
      <w:r w:rsidR="00763875">
        <w:rPr>
          <w:rFonts w:ascii="Arial" w:hAnsi="Arial" w:cs="Arial"/>
          <w:lang w:val="en-GB"/>
        </w:rPr>
        <w:t>OTC derivative contracts.</w:t>
      </w:r>
    </w:p>
    <w:p w14:paraId="1165DA80" w14:textId="77777777" w:rsidR="00F31CB1" w:rsidRPr="00763875" w:rsidRDefault="00F31CB1" w:rsidP="00F31CB1">
      <w:pPr>
        <w:spacing w:after="0"/>
        <w:rPr>
          <w:rFonts w:ascii="Arial" w:hAnsi="Arial" w:cs="Arial"/>
          <w:lang w:val="en-GB"/>
        </w:rPr>
      </w:pPr>
    </w:p>
    <w:p w14:paraId="0B7C1A93" w14:textId="77777777" w:rsidR="00162D4A" w:rsidRPr="003F2D1F" w:rsidRDefault="00763875" w:rsidP="008862F3">
      <w:pPr>
        <w:spacing w:after="0"/>
        <w:rPr>
          <w:rFonts w:ascii="Arial" w:hAnsi="Arial" w:cs="Arial"/>
          <w:lang w:val="en-GB"/>
        </w:rPr>
      </w:pPr>
      <w:r w:rsidRPr="00763875">
        <w:rPr>
          <w:rFonts w:ascii="Arial" w:hAnsi="Arial" w:cs="Arial"/>
          <w:lang w:val="en-GB"/>
        </w:rPr>
        <w:t xml:space="preserve">According to </w:t>
      </w:r>
      <w:r w:rsidR="00F31CB1" w:rsidRPr="00763875">
        <w:rPr>
          <w:rFonts w:ascii="Arial" w:hAnsi="Arial" w:cs="Arial"/>
          <w:lang w:val="en-GB"/>
        </w:rPr>
        <w:t>EMIR</w:t>
      </w:r>
      <w:r w:rsidRPr="00763875">
        <w:rPr>
          <w:rFonts w:ascii="Arial" w:hAnsi="Arial" w:cs="Arial"/>
          <w:lang w:val="en-GB"/>
        </w:rPr>
        <w:t>, the parties to an OTC derivative contract which is not cleared via a central counterparty are required to reach agreement regarding a formalised procedure to ensure that the parties are</w:t>
      </w:r>
      <w:r>
        <w:rPr>
          <w:rFonts w:ascii="Arial" w:hAnsi="Arial" w:cs="Arial"/>
          <w:lang w:val="en-GB"/>
        </w:rPr>
        <w:t xml:space="preserve"> in agreement regarding the terms and conditions of the contract. </w:t>
      </w:r>
      <w:r w:rsidRPr="00763875">
        <w:rPr>
          <w:rFonts w:ascii="Arial" w:hAnsi="Arial" w:cs="Arial"/>
          <w:lang w:val="en-GB"/>
        </w:rPr>
        <w:t>For this purpose, the parties must 1) carry out a reconciliation of all contracts, and 2) have in place procedures for early discovery and resolution of disputes between the parties</w:t>
      </w:r>
      <w:r>
        <w:rPr>
          <w:rFonts w:ascii="Arial" w:hAnsi="Arial" w:cs="Arial"/>
          <w:lang w:val="en-GB"/>
        </w:rPr>
        <w:t xml:space="preserve">. </w:t>
      </w:r>
      <w:r w:rsidR="008862F3">
        <w:rPr>
          <w:rFonts w:ascii="Arial" w:hAnsi="Arial" w:cs="Arial"/>
          <w:lang w:val="en-GB"/>
        </w:rPr>
        <w:t>T</w:t>
      </w:r>
      <w:r w:rsidRPr="00763875">
        <w:rPr>
          <w:rFonts w:ascii="Arial" w:hAnsi="Arial" w:cs="Arial"/>
          <w:lang w:val="en-GB"/>
        </w:rPr>
        <w:t>he following</w:t>
      </w:r>
      <w:r w:rsidR="00F31CB1" w:rsidRPr="00763875">
        <w:rPr>
          <w:rFonts w:ascii="Arial" w:hAnsi="Arial" w:cs="Arial"/>
          <w:lang w:val="en-GB"/>
        </w:rPr>
        <w:t xml:space="preserve"> </w:t>
      </w:r>
      <w:r w:rsidRPr="00763875">
        <w:rPr>
          <w:rFonts w:ascii="Arial" w:hAnsi="Arial" w:cs="Arial"/>
          <w:lang w:val="en-GB"/>
        </w:rPr>
        <w:t>rules regarding portfolio reconciliation and dispute resolution ha</w:t>
      </w:r>
      <w:r w:rsidR="002F17B2">
        <w:rPr>
          <w:rFonts w:ascii="Arial" w:hAnsi="Arial" w:cs="Arial"/>
          <w:lang w:val="en-GB"/>
        </w:rPr>
        <w:t>ve</w:t>
      </w:r>
      <w:r w:rsidRPr="00763875">
        <w:rPr>
          <w:rFonts w:ascii="Arial" w:hAnsi="Arial" w:cs="Arial"/>
          <w:lang w:val="en-GB"/>
        </w:rPr>
        <w:t xml:space="preserve"> been formulated in order to fulfil these requirements. </w:t>
      </w:r>
      <w:r w:rsidRPr="003F2D1F">
        <w:rPr>
          <w:rFonts w:ascii="Arial" w:hAnsi="Arial" w:cs="Arial"/>
          <w:lang w:val="en-GB"/>
        </w:rPr>
        <w:t>The rules are intended to be applied between securities institutions (banks and investment firms) and their counterparties</w:t>
      </w:r>
      <w:r w:rsidR="00514CCC" w:rsidRPr="003F2D1F">
        <w:rPr>
          <w:rFonts w:ascii="Arial" w:hAnsi="Arial" w:cs="Arial"/>
          <w:lang w:val="en-GB"/>
        </w:rPr>
        <w:t>.</w:t>
      </w:r>
    </w:p>
    <w:p w14:paraId="3314241D" w14:textId="77777777" w:rsidR="00CA39F6" w:rsidRPr="003F2D1F" w:rsidRDefault="00CA39F6" w:rsidP="00CA39F6">
      <w:pPr>
        <w:spacing w:after="0"/>
        <w:rPr>
          <w:rFonts w:ascii="Arial" w:hAnsi="Arial" w:cs="Arial"/>
          <w:lang w:val="en-GB"/>
        </w:rPr>
      </w:pPr>
    </w:p>
    <w:p w14:paraId="26BA348B" w14:textId="77777777" w:rsidR="00514CCC" w:rsidRPr="00DB20F3" w:rsidRDefault="003F2D1F" w:rsidP="00E45579">
      <w:pPr>
        <w:spacing w:after="0"/>
        <w:rPr>
          <w:rFonts w:ascii="Arial" w:hAnsi="Arial" w:cs="Arial"/>
          <w:lang w:val="en-GB"/>
        </w:rPr>
      </w:pPr>
      <w:r w:rsidRPr="003F2D1F">
        <w:rPr>
          <w:rFonts w:ascii="Arial" w:hAnsi="Arial" w:cs="Arial"/>
          <w:lang w:val="en-GB"/>
        </w:rPr>
        <w:t xml:space="preserve">These rules shall apply between the parties only for the fulfilment of </w:t>
      </w:r>
      <w:r>
        <w:rPr>
          <w:rFonts w:ascii="Arial" w:hAnsi="Arial" w:cs="Arial"/>
          <w:lang w:val="en-GB"/>
        </w:rPr>
        <w:t xml:space="preserve">the requirements set forth in </w:t>
      </w:r>
      <w:r w:rsidR="00CA39F6" w:rsidRPr="003F2D1F">
        <w:rPr>
          <w:rFonts w:ascii="Arial" w:hAnsi="Arial" w:cs="Arial"/>
          <w:lang w:val="en-GB"/>
        </w:rPr>
        <w:t>EMIR</w:t>
      </w:r>
      <w:r w:rsidR="00514CCC" w:rsidRPr="003F2D1F">
        <w:rPr>
          <w:rFonts w:ascii="Arial" w:hAnsi="Arial" w:cs="Arial"/>
          <w:lang w:val="en-GB"/>
        </w:rPr>
        <w:t>.</w:t>
      </w:r>
      <w:r w:rsidRPr="003F2D1F">
        <w:rPr>
          <w:rFonts w:ascii="Arial" w:hAnsi="Arial" w:cs="Arial"/>
          <w:lang w:val="en-GB"/>
        </w:rPr>
        <w:t xml:space="preserve"> </w:t>
      </w:r>
      <w:r w:rsidRPr="00DB20F3">
        <w:rPr>
          <w:rFonts w:ascii="Arial" w:hAnsi="Arial" w:cs="Arial"/>
          <w:lang w:val="en-GB"/>
        </w:rPr>
        <w:t xml:space="preserve">However, any dispute which is referred to arbitration in accordance with the rules below shall be conclusively </w:t>
      </w:r>
      <w:r w:rsidR="00DB20F3" w:rsidRPr="00DB20F3">
        <w:rPr>
          <w:rFonts w:ascii="Arial" w:hAnsi="Arial" w:cs="Arial"/>
          <w:lang w:val="en-GB"/>
        </w:rPr>
        <w:t xml:space="preserve">determined between the parties in accordance with special </w:t>
      </w:r>
      <w:r w:rsidR="008862F3">
        <w:rPr>
          <w:rFonts w:ascii="Arial" w:hAnsi="Arial" w:cs="Arial"/>
          <w:lang w:val="en-GB"/>
        </w:rPr>
        <w:t>provisions</w:t>
      </w:r>
      <w:r w:rsidR="00DB20F3" w:rsidRPr="00DB20F3">
        <w:rPr>
          <w:rFonts w:ascii="Arial" w:hAnsi="Arial" w:cs="Arial"/>
          <w:lang w:val="en-GB"/>
        </w:rPr>
        <w:t xml:space="preserve"> in the </w:t>
      </w:r>
      <w:r w:rsidR="00DB20F3">
        <w:rPr>
          <w:rFonts w:ascii="Arial" w:hAnsi="Arial" w:cs="Arial"/>
          <w:lang w:val="en-GB"/>
        </w:rPr>
        <w:t>Swedish Arbitration Act</w:t>
      </w:r>
      <w:r w:rsidR="00CA39F6" w:rsidRPr="00DB20F3">
        <w:rPr>
          <w:rFonts w:ascii="Arial" w:hAnsi="Arial" w:cs="Arial"/>
          <w:lang w:val="en-GB"/>
        </w:rPr>
        <w:t xml:space="preserve">. </w:t>
      </w:r>
    </w:p>
    <w:p w14:paraId="507E8153" w14:textId="77777777" w:rsidR="00514CCC" w:rsidRPr="00DB20F3" w:rsidRDefault="00514CCC" w:rsidP="00CA39F6">
      <w:pPr>
        <w:spacing w:after="0"/>
        <w:rPr>
          <w:rFonts w:ascii="Arial" w:hAnsi="Arial" w:cs="Arial"/>
          <w:lang w:val="en-GB"/>
        </w:rPr>
      </w:pPr>
    </w:p>
    <w:p w14:paraId="20343C46" w14:textId="77777777" w:rsidR="00CA39F6" w:rsidRPr="00DB3FB6" w:rsidRDefault="00DB20F3" w:rsidP="00AB501C">
      <w:pPr>
        <w:spacing w:after="0"/>
        <w:rPr>
          <w:rFonts w:ascii="Arial" w:hAnsi="Arial" w:cs="Arial"/>
          <w:lang w:val="en-GB"/>
        </w:rPr>
      </w:pPr>
      <w:r w:rsidRPr="00DB20F3">
        <w:rPr>
          <w:rFonts w:ascii="Arial" w:hAnsi="Arial" w:cs="Arial"/>
          <w:lang w:val="en-GB"/>
        </w:rPr>
        <w:t>Where the dispute is not referred to arbitration in accordance with the rules below, the parties may have their matter tried in any other way, e.g. in a court of law</w:t>
      </w:r>
      <w:r>
        <w:rPr>
          <w:rFonts w:ascii="Arial" w:hAnsi="Arial" w:cs="Arial"/>
          <w:lang w:val="en-GB"/>
        </w:rPr>
        <w:t xml:space="preserve">. </w:t>
      </w:r>
      <w:r w:rsidR="00AB501C">
        <w:rPr>
          <w:rFonts w:ascii="Arial" w:hAnsi="Arial" w:cs="Arial"/>
          <w:lang w:val="en-US"/>
        </w:rPr>
        <w:t>S</w:t>
      </w:r>
      <w:r w:rsidR="00AB501C" w:rsidRPr="00AB501C">
        <w:rPr>
          <w:rFonts w:ascii="Arial" w:hAnsi="Arial" w:cs="Arial"/>
          <w:lang w:val="en-US"/>
        </w:rPr>
        <w:t>ubject to the aforesaid</w:t>
      </w:r>
      <w:r w:rsidR="00AB501C">
        <w:rPr>
          <w:lang w:val="en-US"/>
        </w:rPr>
        <w:t xml:space="preserve">, </w:t>
      </w:r>
      <w:r w:rsidR="00AB501C">
        <w:rPr>
          <w:rFonts w:ascii="Arial" w:hAnsi="Arial" w:cs="Arial"/>
          <w:lang w:val="en-GB"/>
        </w:rPr>
        <w:t>w</w:t>
      </w:r>
      <w:r w:rsidR="00AB501C" w:rsidRPr="00DB3FB6">
        <w:rPr>
          <w:rFonts w:ascii="Arial" w:hAnsi="Arial" w:cs="Arial"/>
          <w:lang w:val="en-GB"/>
        </w:rPr>
        <w:t xml:space="preserve">here </w:t>
      </w:r>
      <w:r w:rsidRPr="00DB3FB6">
        <w:rPr>
          <w:rFonts w:ascii="Arial" w:hAnsi="Arial" w:cs="Arial"/>
          <w:lang w:val="en-GB"/>
        </w:rPr>
        <w:t>the parties have agreed that dispute</w:t>
      </w:r>
      <w:r w:rsidR="00E45579">
        <w:rPr>
          <w:rFonts w:ascii="Arial" w:hAnsi="Arial" w:cs="Arial"/>
          <w:lang w:val="en-GB"/>
        </w:rPr>
        <w:t>s</w:t>
      </w:r>
      <w:r w:rsidRPr="00DB3FB6">
        <w:rPr>
          <w:rFonts w:ascii="Arial" w:hAnsi="Arial" w:cs="Arial"/>
          <w:lang w:val="en-GB"/>
        </w:rPr>
        <w:t xml:space="preserve"> shall be determined in any other way, such procedure shall apply between the parties</w:t>
      </w:r>
      <w:r w:rsidR="00D34183" w:rsidRPr="00DB3FB6">
        <w:rPr>
          <w:rFonts w:ascii="Arial" w:hAnsi="Arial" w:cs="Arial"/>
          <w:lang w:val="en-GB"/>
        </w:rPr>
        <w:t xml:space="preserve">. </w:t>
      </w:r>
      <w:r w:rsidR="00CA39F6" w:rsidRPr="00DB3FB6">
        <w:rPr>
          <w:rFonts w:ascii="Arial" w:hAnsi="Arial" w:cs="Arial"/>
          <w:lang w:val="en-GB"/>
        </w:rPr>
        <w:t xml:space="preserve">  </w:t>
      </w:r>
    </w:p>
    <w:p w14:paraId="0EF90B38" w14:textId="77777777" w:rsidR="00162D4A" w:rsidRPr="00DB3FB6" w:rsidRDefault="00162D4A" w:rsidP="00F31CB1">
      <w:pPr>
        <w:spacing w:after="0"/>
        <w:rPr>
          <w:rFonts w:ascii="Arial" w:hAnsi="Arial" w:cs="Arial"/>
          <w:lang w:val="en-GB"/>
        </w:rPr>
      </w:pPr>
    </w:p>
    <w:p w14:paraId="03302942" w14:textId="77777777" w:rsidR="00F31CB1" w:rsidRPr="00DB3FB6" w:rsidRDefault="00DB3FB6" w:rsidP="00DB3FB6">
      <w:pPr>
        <w:spacing w:after="0"/>
        <w:rPr>
          <w:rFonts w:ascii="Arial" w:hAnsi="Arial" w:cs="Arial"/>
          <w:b/>
          <w:lang w:val="en-GB"/>
        </w:rPr>
      </w:pPr>
      <w:r w:rsidRPr="00DB3FB6">
        <w:rPr>
          <w:rFonts w:ascii="Arial" w:hAnsi="Arial" w:cs="Arial"/>
          <w:b/>
          <w:lang w:val="en-GB"/>
        </w:rPr>
        <w:t xml:space="preserve">Portfolio reconciliation and dispute resolution through negotiation between the parties  </w:t>
      </w:r>
      <w:r w:rsidR="00B674DF" w:rsidRPr="00DB3FB6">
        <w:rPr>
          <w:rFonts w:ascii="Arial" w:hAnsi="Arial" w:cs="Arial"/>
          <w:b/>
          <w:lang w:val="en-GB"/>
        </w:rPr>
        <w:t xml:space="preserve"> </w:t>
      </w:r>
      <w:r w:rsidR="00F31CB1" w:rsidRPr="00DB3FB6">
        <w:rPr>
          <w:rFonts w:ascii="Arial" w:hAnsi="Arial" w:cs="Arial"/>
          <w:b/>
          <w:lang w:val="en-GB"/>
        </w:rPr>
        <w:t xml:space="preserve"> </w:t>
      </w:r>
    </w:p>
    <w:p w14:paraId="69AB6825" w14:textId="77777777" w:rsidR="00CA39F6" w:rsidRPr="00DB3FB6" w:rsidRDefault="00CA39F6" w:rsidP="00F31CB1">
      <w:pPr>
        <w:spacing w:after="0"/>
        <w:rPr>
          <w:rFonts w:ascii="Arial" w:hAnsi="Arial" w:cs="Arial"/>
          <w:lang w:val="en-GB"/>
        </w:rPr>
      </w:pPr>
    </w:p>
    <w:p w14:paraId="6FC742DC" w14:textId="77777777" w:rsidR="00F31CB1" w:rsidRPr="00DB3FB6" w:rsidRDefault="00E45579" w:rsidP="00AB50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DB3FB6">
        <w:rPr>
          <w:rFonts w:ascii="Arial" w:hAnsi="Arial" w:cs="Arial"/>
          <w:lang w:val="en-GB"/>
        </w:rPr>
        <w:t>t least once a year</w:t>
      </w:r>
      <w:r>
        <w:rPr>
          <w:rFonts w:ascii="Arial" w:hAnsi="Arial" w:cs="Arial"/>
          <w:lang w:val="en-GB"/>
        </w:rPr>
        <w:t>,</w:t>
      </w:r>
      <w:r w:rsidRPr="00DB3FB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="00DB3FB6" w:rsidRPr="00DB3FB6">
        <w:rPr>
          <w:rFonts w:ascii="Arial" w:hAnsi="Arial" w:cs="Arial"/>
          <w:lang w:val="en-GB"/>
        </w:rPr>
        <w:t xml:space="preserve"> securities institution</w:t>
      </w:r>
      <w:r w:rsidR="00DB3FB6">
        <w:rPr>
          <w:rFonts w:ascii="Arial" w:hAnsi="Arial" w:cs="Arial"/>
          <w:lang w:val="en-GB"/>
        </w:rPr>
        <w:t xml:space="preserve"> </w:t>
      </w:r>
      <w:r w:rsidR="00DB3FB6" w:rsidRPr="00DB3FB6">
        <w:rPr>
          <w:rFonts w:ascii="Arial" w:hAnsi="Arial" w:cs="Arial"/>
          <w:lang w:val="en-GB"/>
        </w:rPr>
        <w:t xml:space="preserve">shall provide the counterparty with a portfolio summary with respect to all outstanding OTC derivative contracts with the counterparty and, where appropriate, </w:t>
      </w:r>
      <w:r w:rsidR="00DB3FB6">
        <w:rPr>
          <w:rFonts w:ascii="Arial" w:hAnsi="Arial" w:cs="Arial"/>
          <w:lang w:val="en-GB"/>
        </w:rPr>
        <w:t xml:space="preserve">a summary of </w:t>
      </w:r>
      <w:r w:rsidR="008862F3">
        <w:rPr>
          <w:rFonts w:ascii="Arial" w:hAnsi="Arial" w:cs="Arial"/>
          <w:lang w:val="en-GB"/>
        </w:rPr>
        <w:t xml:space="preserve">assets </w:t>
      </w:r>
      <w:r w:rsidR="00AB501C">
        <w:rPr>
          <w:rFonts w:ascii="Arial" w:hAnsi="Arial" w:cs="Arial"/>
          <w:lang w:val="en-GB"/>
        </w:rPr>
        <w:t xml:space="preserve">posted </w:t>
      </w:r>
      <w:r w:rsidR="008862F3">
        <w:rPr>
          <w:rFonts w:ascii="Arial" w:hAnsi="Arial" w:cs="Arial"/>
          <w:lang w:val="en-GB"/>
        </w:rPr>
        <w:t>as collateral</w:t>
      </w:r>
      <w:r w:rsidR="00DB3FB6">
        <w:rPr>
          <w:rFonts w:ascii="Arial" w:hAnsi="Arial" w:cs="Arial"/>
          <w:lang w:val="en-GB"/>
        </w:rPr>
        <w:t xml:space="preserve">. </w:t>
      </w:r>
      <w:r w:rsidR="008862F3">
        <w:rPr>
          <w:rFonts w:ascii="Arial" w:hAnsi="Arial" w:cs="Arial"/>
          <w:lang w:val="en-GB"/>
        </w:rPr>
        <w:t>In</w:t>
      </w:r>
      <w:r w:rsidR="008862F3" w:rsidRPr="00DB3FB6">
        <w:rPr>
          <w:rFonts w:ascii="Arial" w:hAnsi="Arial" w:cs="Arial"/>
          <w:lang w:val="en-GB"/>
        </w:rPr>
        <w:t xml:space="preserve"> connection with each transaction regarding a new contract</w:t>
      </w:r>
      <w:r w:rsidR="008862F3">
        <w:rPr>
          <w:rFonts w:ascii="Arial" w:hAnsi="Arial" w:cs="Arial"/>
          <w:lang w:val="en-GB"/>
        </w:rPr>
        <w:t>,</w:t>
      </w:r>
      <w:r w:rsidR="008862F3" w:rsidRPr="00DB3FB6">
        <w:rPr>
          <w:rFonts w:ascii="Arial" w:hAnsi="Arial" w:cs="Arial"/>
          <w:lang w:val="en-GB"/>
        </w:rPr>
        <w:t xml:space="preserve"> </w:t>
      </w:r>
      <w:r w:rsidR="008862F3">
        <w:rPr>
          <w:rFonts w:ascii="Arial" w:hAnsi="Arial" w:cs="Arial"/>
          <w:lang w:val="en-GB"/>
        </w:rPr>
        <w:t>t</w:t>
      </w:r>
      <w:r w:rsidR="00DB3FB6" w:rsidRPr="00DB3FB6">
        <w:rPr>
          <w:rFonts w:ascii="Arial" w:hAnsi="Arial" w:cs="Arial"/>
          <w:lang w:val="en-GB"/>
        </w:rPr>
        <w:t>he securities</w:t>
      </w:r>
      <w:r w:rsidR="00DB3FB6">
        <w:rPr>
          <w:rFonts w:ascii="Arial" w:hAnsi="Arial" w:cs="Arial"/>
          <w:lang w:val="en-GB"/>
        </w:rPr>
        <w:t xml:space="preserve"> institution </w:t>
      </w:r>
      <w:r w:rsidR="00DB3FB6" w:rsidRPr="00DB3FB6">
        <w:rPr>
          <w:rFonts w:ascii="Arial" w:hAnsi="Arial" w:cs="Arial"/>
          <w:lang w:val="en-GB"/>
        </w:rPr>
        <w:t>shall provide the counterparty with a confirmation of the contract terms</w:t>
      </w:r>
      <w:r w:rsidR="00CF2ADE" w:rsidRPr="00DB3FB6">
        <w:rPr>
          <w:rFonts w:ascii="Arial" w:hAnsi="Arial" w:cs="Arial"/>
          <w:lang w:val="en-GB"/>
        </w:rPr>
        <w:t xml:space="preserve">.  </w:t>
      </w:r>
    </w:p>
    <w:p w14:paraId="4A5CE696" w14:textId="77777777" w:rsidR="00F77A47" w:rsidRPr="00DB3FB6" w:rsidRDefault="00DB3FB6" w:rsidP="00AB501C">
      <w:pPr>
        <w:rPr>
          <w:rFonts w:ascii="Arial" w:hAnsi="Arial" w:cs="Arial"/>
          <w:lang w:val="en-GB"/>
        </w:rPr>
      </w:pPr>
      <w:r w:rsidRPr="00DB3FB6">
        <w:rPr>
          <w:rFonts w:ascii="Arial" w:hAnsi="Arial" w:cs="Arial"/>
          <w:lang w:val="en-GB"/>
        </w:rPr>
        <w:lastRenderedPageBreak/>
        <w:t>The counterparty shall review received documents without delay and, as soon as possible, give notice of any errors or deficiencies and, where appropriate,</w:t>
      </w:r>
      <w:r w:rsidR="008862F3">
        <w:rPr>
          <w:rFonts w:ascii="Arial" w:hAnsi="Arial" w:cs="Arial"/>
          <w:lang w:val="en-GB"/>
        </w:rPr>
        <w:t xml:space="preserve"> raise an </w:t>
      </w:r>
      <w:r w:rsidRPr="00DB3FB6">
        <w:rPr>
          <w:rFonts w:ascii="Arial" w:hAnsi="Arial" w:cs="Arial"/>
          <w:lang w:val="en-GB"/>
        </w:rPr>
        <w:t>object</w:t>
      </w:r>
      <w:r w:rsidR="008862F3">
        <w:rPr>
          <w:rFonts w:ascii="Arial" w:hAnsi="Arial" w:cs="Arial"/>
          <w:lang w:val="en-GB"/>
        </w:rPr>
        <w:t>ion</w:t>
      </w:r>
      <w:r w:rsidRPr="00DB3FB6">
        <w:rPr>
          <w:rFonts w:ascii="Arial" w:hAnsi="Arial" w:cs="Arial"/>
          <w:lang w:val="en-GB"/>
        </w:rPr>
        <w:t xml:space="preserve"> to values stated by the securities institution concerning </w:t>
      </w:r>
      <w:r>
        <w:rPr>
          <w:rFonts w:ascii="Arial" w:hAnsi="Arial" w:cs="Arial"/>
          <w:lang w:val="en-GB"/>
        </w:rPr>
        <w:t xml:space="preserve">listed contracts and summaries </w:t>
      </w:r>
      <w:r w:rsidR="008862F3">
        <w:rPr>
          <w:rFonts w:ascii="Arial" w:hAnsi="Arial" w:cs="Arial"/>
          <w:lang w:val="en-GB"/>
        </w:rPr>
        <w:t>provided regarding</w:t>
      </w:r>
      <w:r>
        <w:rPr>
          <w:rFonts w:ascii="Arial" w:hAnsi="Arial" w:cs="Arial"/>
          <w:lang w:val="en-GB"/>
        </w:rPr>
        <w:t xml:space="preserve"> </w:t>
      </w:r>
      <w:r w:rsidR="008862F3">
        <w:rPr>
          <w:rFonts w:ascii="Arial" w:hAnsi="Arial" w:cs="Arial"/>
          <w:lang w:val="en-GB"/>
        </w:rPr>
        <w:t xml:space="preserve">assets </w:t>
      </w:r>
      <w:r w:rsidR="00AB501C">
        <w:rPr>
          <w:rFonts w:ascii="Arial" w:hAnsi="Arial" w:cs="Arial"/>
          <w:lang w:val="en-GB"/>
        </w:rPr>
        <w:t xml:space="preserve">posted </w:t>
      </w:r>
      <w:r w:rsidR="008862F3">
        <w:rPr>
          <w:rFonts w:ascii="Arial" w:hAnsi="Arial" w:cs="Arial"/>
          <w:lang w:val="en-GB"/>
        </w:rPr>
        <w:t>as collateral</w:t>
      </w:r>
      <w:r>
        <w:rPr>
          <w:rFonts w:ascii="Arial" w:hAnsi="Arial" w:cs="Arial"/>
          <w:lang w:val="en-GB"/>
        </w:rPr>
        <w:t xml:space="preserve">. </w:t>
      </w:r>
      <w:r w:rsidRPr="00DB3FB6">
        <w:rPr>
          <w:rFonts w:ascii="Arial" w:hAnsi="Arial" w:cs="Arial"/>
          <w:lang w:val="en-GB"/>
        </w:rPr>
        <w:t>Where the counterparty fails to contact the securities institution within five business days of receipt of a</w:t>
      </w:r>
      <w:r w:rsidR="008862F3">
        <w:rPr>
          <w:rFonts w:ascii="Arial" w:hAnsi="Arial" w:cs="Arial"/>
          <w:lang w:val="en-GB"/>
        </w:rPr>
        <w:t>ny such</w:t>
      </w:r>
      <w:r w:rsidRPr="00DB3FB6">
        <w:rPr>
          <w:rFonts w:ascii="Arial" w:hAnsi="Arial" w:cs="Arial"/>
          <w:lang w:val="en-GB"/>
        </w:rPr>
        <w:t xml:space="preserve"> document, unless otherwise specifically agreed between the parties the counterparty shall be deemed to have accepted </w:t>
      </w:r>
      <w:r>
        <w:rPr>
          <w:rFonts w:ascii="Arial" w:hAnsi="Arial" w:cs="Arial"/>
          <w:lang w:val="en-GB"/>
        </w:rPr>
        <w:t>information and values stated by the institution</w:t>
      </w:r>
      <w:r w:rsidR="00166DC0" w:rsidRPr="00DB3FB6">
        <w:rPr>
          <w:rFonts w:ascii="Arial" w:hAnsi="Arial" w:cs="Arial"/>
          <w:lang w:val="en-GB"/>
        </w:rPr>
        <w:t>.</w:t>
      </w:r>
    </w:p>
    <w:p w14:paraId="6906DB49" w14:textId="77777777" w:rsidR="00D627ED" w:rsidRPr="00DB3FB6" w:rsidRDefault="00DB3FB6" w:rsidP="008862F3">
      <w:pPr>
        <w:rPr>
          <w:rFonts w:ascii="Arial" w:hAnsi="Arial" w:cs="Arial"/>
          <w:lang w:val="en-GB"/>
        </w:rPr>
      </w:pPr>
      <w:r w:rsidRPr="00DB3FB6">
        <w:rPr>
          <w:rFonts w:ascii="Arial" w:hAnsi="Arial" w:cs="Arial"/>
          <w:lang w:val="en-GB"/>
        </w:rPr>
        <w:t xml:space="preserve">Where notice is given regarding errors and </w:t>
      </w:r>
      <w:r w:rsidR="008862F3">
        <w:rPr>
          <w:rFonts w:ascii="Arial" w:hAnsi="Arial" w:cs="Arial"/>
          <w:lang w:val="en-GB"/>
        </w:rPr>
        <w:t>deficiencies</w:t>
      </w:r>
      <w:r w:rsidRPr="00DB3FB6">
        <w:rPr>
          <w:rFonts w:ascii="Arial" w:hAnsi="Arial" w:cs="Arial"/>
          <w:lang w:val="en-GB"/>
        </w:rPr>
        <w:t xml:space="preserve"> or objections are raised by the counterparty, the parties shall immediately commence discussions with each other aimed at </w:t>
      </w:r>
      <w:r>
        <w:rPr>
          <w:rFonts w:ascii="Arial" w:hAnsi="Arial" w:cs="Arial"/>
          <w:lang w:val="en-GB"/>
        </w:rPr>
        <w:t xml:space="preserve">reaching an agreement in the matter in question. </w:t>
      </w:r>
      <w:r w:rsidRPr="00DB3FB6">
        <w:rPr>
          <w:rFonts w:ascii="Arial" w:hAnsi="Arial" w:cs="Arial"/>
          <w:lang w:val="en-GB"/>
        </w:rPr>
        <w:t xml:space="preserve">Where agreement </w:t>
      </w:r>
      <w:r w:rsidR="008862F3">
        <w:rPr>
          <w:rFonts w:ascii="Arial" w:hAnsi="Arial" w:cs="Arial"/>
          <w:lang w:val="en-GB"/>
        </w:rPr>
        <w:t>is</w:t>
      </w:r>
      <w:r w:rsidRPr="00DB3FB6">
        <w:rPr>
          <w:rFonts w:ascii="Arial" w:hAnsi="Arial" w:cs="Arial"/>
          <w:lang w:val="en-GB"/>
        </w:rPr>
        <w:t xml:space="preserve"> not reached within three business days from commencement of the discussions, the matter shall be referred to </w:t>
      </w:r>
      <w:r w:rsidR="008862F3">
        <w:rPr>
          <w:rFonts w:ascii="Arial" w:hAnsi="Arial" w:cs="Arial"/>
          <w:lang w:val="en-GB"/>
        </w:rPr>
        <w:t xml:space="preserve">each party’s </w:t>
      </w:r>
      <w:r w:rsidRPr="00DB3FB6">
        <w:rPr>
          <w:rFonts w:ascii="Arial" w:hAnsi="Arial" w:cs="Arial"/>
          <w:lang w:val="en-GB"/>
        </w:rPr>
        <w:t>respective superiors</w:t>
      </w:r>
      <w:r w:rsidR="003A4309" w:rsidRPr="00DB3FB6">
        <w:rPr>
          <w:rFonts w:ascii="Arial" w:hAnsi="Arial" w:cs="Arial"/>
          <w:lang w:val="en-GB"/>
        </w:rPr>
        <w:t>.</w:t>
      </w:r>
    </w:p>
    <w:p w14:paraId="471774B5" w14:textId="77777777" w:rsidR="00C26B05" w:rsidRPr="00586E88" w:rsidDel="00320C59" w:rsidRDefault="00DB3FB6" w:rsidP="008862F3">
      <w:pPr>
        <w:rPr>
          <w:rFonts w:ascii="Arial" w:hAnsi="Arial" w:cs="Arial"/>
          <w:lang w:val="en-GB"/>
        </w:rPr>
      </w:pPr>
      <w:r w:rsidRPr="00DB3FB6">
        <w:rPr>
          <w:rFonts w:ascii="Arial" w:hAnsi="Arial" w:cs="Arial"/>
          <w:lang w:val="en-GB"/>
        </w:rPr>
        <w:t xml:space="preserve">Where the parties </w:t>
      </w:r>
      <w:r w:rsidR="008862F3">
        <w:rPr>
          <w:rFonts w:ascii="Arial" w:hAnsi="Arial" w:cs="Arial"/>
          <w:lang w:val="en-GB"/>
        </w:rPr>
        <w:t>fail</w:t>
      </w:r>
      <w:r w:rsidRPr="00DB3FB6">
        <w:rPr>
          <w:rFonts w:ascii="Arial" w:hAnsi="Arial" w:cs="Arial"/>
          <w:lang w:val="en-GB"/>
        </w:rPr>
        <w:t xml:space="preserve"> to reach agreement within five business days of </w:t>
      </w:r>
      <w:r>
        <w:rPr>
          <w:rFonts w:ascii="Arial" w:hAnsi="Arial" w:cs="Arial"/>
          <w:lang w:val="en-GB"/>
        </w:rPr>
        <w:t xml:space="preserve">commencement of the discussions, a party shall be entitled to refer the matter to arbitration in accordance with the provisions below. </w:t>
      </w:r>
      <w:r w:rsidRPr="00586E88">
        <w:rPr>
          <w:rFonts w:ascii="Arial" w:hAnsi="Arial" w:cs="Arial"/>
          <w:lang w:val="en-GB"/>
        </w:rPr>
        <w:t>Where neither of the parties has referred the matter to such arbitration within 30 days of commencement of the discussions,</w:t>
      </w:r>
      <w:r w:rsidR="00586E88" w:rsidRPr="00586E88">
        <w:rPr>
          <w:rFonts w:ascii="Arial" w:hAnsi="Arial" w:cs="Arial"/>
          <w:lang w:val="en-GB"/>
        </w:rPr>
        <w:t xml:space="preserve"> the</w:t>
      </w:r>
      <w:r w:rsidR="00586E88">
        <w:rPr>
          <w:rFonts w:ascii="Arial" w:hAnsi="Arial" w:cs="Arial"/>
          <w:lang w:val="en-GB"/>
        </w:rPr>
        <w:t xml:space="preserve"> dispute </w:t>
      </w:r>
      <w:r w:rsidR="00586E88" w:rsidRPr="00586E88">
        <w:rPr>
          <w:rFonts w:ascii="Arial" w:hAnsi="Arial" w:cs="Arial"/>
          <w:lang w:val="en-GB"/>
        </w:rPr>
        <w:t>shall be deemed settled</w:t>
      </w:r>
      <w:r w:rsidRPr="00586E88">
        <w:rPr>
          <w:rFonts w:ascii="Arial" w:hAnsi="Arial" w:cs="Arial"/>
          <w:lang w:val="en-GB"/>
        </w:rPr>
        <w:t xml:space="preserve"> </w:t>
      </w:r>
      <w:r w:rsidR="00586E88">
        <w:rPr>
          <w:rFonts w:ascii="Arial" w:hAnsi="Arial" w:cs="Arial"/>
          <w:lang w:val="en-GB"/>
        </w:rPr>
        <w:t>as regards matters other than valuation issues</w:t>
      </w:r>
      <w:r w:rsidR="00E45579">
        <w:rPr>
          <w:rFonts w:ascii="Arial" w:hAnsi="Arial" w:cs="Arial"/>
          <w:lang w:val="en-GB"/>
        </w:rPr>
        <w:t>,</w:t>
      </w:r>
      <w:r w:rsidR="00586E88">
        <w:rPr>
          <w:rFonts w:ascii="Arial" w:hAnsi="Arial" w:cs="Arial"/>
          <w:lang w:val="en-GB"/>
        </w:rPr>
        <w:t xml:space="preserve"> and information stated by the </w:t>
      </w:r>
      <w:r w:rsidR="008862F3">
        <w:rPr>
          <w:rFonts w:ascii="Arial" w:hAnsi="Arial" w:cs="Arial"/>
          <w:lang w:val="en-GB"/>
        </w:rPr>
        <w:t>securities</w:t>
      </w:r>
      <w:r w:rsidR="00586E88">
        <w:rPr>
          <w:rFonts w:ascii="Arial" w:hAnsi="Arial" w:cs="Arial"/>
          <w:lang w:val="en-GB"/>
        </w:rPr>
        <w:t xml:space="preserve"> institution shall apply. </w:t>
      </w:r>
      <w:r w:rsidR="00586E88" w:rsidRPr="00586E88">
        <w:rPr>
          <w:rFonts w:ascii="Arial" w:hAnsi="Arial" w:cs="Arial"/>
          <w:lang w:val="en-GB"/>
        </w:rPr>
        <w:t>With respect to unresolved disputes concerning valuation issues, the following provisions shall apply</w:t>
      </w:r>
      <w:r w:rsidR="00CA39F6" w:rsidRPr="00586E88" w:rsidDel="00320C59">
        <w:rPr>
          <w:rFonts w:ascii="Arial" w:hAnsi="Arial" w:cs="Arial"/>
          <w:lang w:val="en-GB"/>
        </w:rPr>
        <w:t>.</w:t>
      </w:r>
    </w:p>
    <w:p w14:paraId="69E520E3" w14:textId="77777777" w:rsidR="00320C59" w:rsidRPr="00586E88" w:rsidRDefault="00586E88" w:rsidP="008862F3">
      <w:pPr>
        <w:rPr>
          <w:rFonts w:ascii="Arial" w:hAnsi="Arial" w:cs="Arial"/>
          <w:lang w:val="en-GB"/>
        </w:rPr>
      </w:pPr>
      <w:r w:rsidRPr="00586E88">
        <w:rPr>
          <w:rFonts w:ascii="Arial" w:hAnsi="Arial" w:cs="Arial"/>
          <w:lang w:val="en-GB"/>
        </w:rPr>
        <w:t xml:space="preserve">Where the counterparty has called into question values stated by the securities institution, the institution shall obtain quotes from no fewer than two and no more than four </w:t>
      </w:r>
      <w:r>
        <w:rPr>
          <w:rFonts w:ascii="Arial" w:hAnsi="Arial" w:cs="Arial"/>
          <w:lang w:val="en-GB"/>
        </w:rPr>
        <w:t>well</w:t>
      </w:r>
      <w:r w:rsidR="008862F3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 xml:space="preserve">reputed financial institutions which are independent of the parties. </w:t>
      </w:r>
      <w:r w:rsidRPr="00586E88">
        <w:rPr>
          <w:rFonts w:ascii="Arial" w:hAnsi="Arial" w:cs="Arial"/>
          <w:lang w:val="en-GB"/>
        </w:rPr>
        <w:t xml:space="preserve">Where such values per the valuation day significantly differ from the disputed values stated by the securities institution, an average of such values shall apply </w:t>
      </w:r>
      <w:r>
        <w:rPr>
          <w:rFonts w:ascii="Arial" w:hAnsi="Arial" w:cs="Arial"/>
          <w:lang w:val="en-GB"/>
        </w:rPr>
        <w:t xml:space="preserve">and the institution shall bear the valuation costs. </w:t>
      </w:r>
      <w:r w:rsidRPr="00586E88">
        <w:rPr>
          <w:rFonts w:ascii="Arial" w:hAnsi="Arial" w:cs="Arial"/>
          <w:lang w:val="en-GB"/>
        </w:rPr>
        <w:t>Where the values do not differ in the stated manner, the securities institution</w:t>
      </w:r>
      <w:r w:rsidR="008862F3">
        <w:rPr>
          <w:rFonts w:ascii="Arial" w:hAnsi="Arial" w:cs="Arial"/>
          <w:lang w:val="en-GB"/>
        </w:rPr>
        <w:t>’</w:t>
      </w:r>
      <w:r w:rsidRPr="00586E88">
        <w:rPr>
          <w:rFonts w:ascii="Arial" w:hAnsi="Arial" w:cs="Arial"/>
          <w:lang w:val="en-GB"/>
        </w:rPr>
        <w:t>s valuations shall apply and the counterparty shall instead bear the costs</w:t>
      </w:r>
      <w:r w:rsidR="0013603D" w:rsidRPr="00586E88">
        <w:rPr>
          <w:rFonts w:ascii="Arial" w:hAnsi="Arial" w:cs="Arial"/>
          <w:lang w:val="en-GB"/>
        </w:rPr>
        <w:t>.</w:t>
      </w:r>
      <w:r w:rsidR="00275BEF" w:rsidRPr="00586E88">
        <w:rPr>
          <w:rFonts w:ascii="Arial" w:hAnsi="Arial" w:cs="Arial"/>
          <w:lang w:val="en-GB"/>
        </w:rPr>
        <w:t xml:space="preserve">    </w:t>
      </w:r>
    </w:p>
    <w:p w14:paraId="162B9C34" w14:textId="77777777" w:rsidR="00C3565D" w:rsidRPr="00586E88" w:rsidRDefault="00275BEF">
      <w:pPr>
        <w:rPr>
          <w:rFonts w:ascii="Arial" w:hAnsi="Arial" w:cs="Arial"/>
          <w:lang w:val="en-GB"/>
        </w:rPr>
      </w:pPr>
      <w:r w:rsidRPr="00586E88">
        <w:rPr>
          <w:rFonts w:ascii="Arial" w:hAnsi="Arial" w:cs="Arial"/>
          <w:lang w:val="en-GB"/>
        </w:rPr>
        <w:t xml:space="preserve"> </w:t>
      </w:r>
    </w:p>
    <w:p w14:paraId="22143469" w14:textId="77777777" w:rsidR="00162D4A" w:rsidRPr="00CB46DC" w:rsidRDefault="00586E88" w:rsidP="00586E88">
      <w:pPr>
        <w:rPr>
          <w:rFonts w:ascii="Arial" w:hAnsi="Arial" w:cs="Arial"/>
          <w:b/>
          <w:lang w:val="en-US"/>
        </w:rPr>
      </w:pPr>
      <w:r w:rsidRPr="00CB46DC">
        <w:rPr>
          <w:rFonts w:ascii="Arial" w:hAnsi="Arial" w:cs="Arial"/>
          <w:b/>
          <w:lang w:val="en-US"/>
        </w:rPr>
        <w:t xml:space="preserve">Mediation and arbitration </w:t>
      </w:r>
    </w:p>
    <w:p w14:paraId="7C2B587D" w14:textId="77777777" w:rsidR="00162D4A" w:rsidRPr="00586E88" w:rsidRDefault="00586E88" w:rsidP="00586E88">
      <w:pPr>
        <w:rPr>
          <w:rFonts w:ascii="Arial" w:hAnsi="Arial" w:cs="Arial"/>
          <w:lang w:val="en-GB"/>
        </w:rPr>
      </w:pPr>
      <w:r w:rsidRPr="00586E88">
        <w:rPr>
          <w:rFonts w:ascii="Arial" w:hAnsi="Arial" w:cs="Arial"/>
          <w:lang w:val="en-GB"/>
        </w:rPr>
        <w:t>Disputes which are referred pursuant to these rules shall preferably be resolved through mediation in accordance with the Rules of the Mediation Institute of the Stockholm Chamber of</w:t>
      </w:r>
      <w:r>
        <w:rPr>
          <w:rFonts w:ascii="Arial" w:hAnsi="Arial" w:cs="Arial"/>
          <w:lang w:val="en-GB"/>
        </w:rPr>
        <w:t xml:space="preserve"> Commerce</w:t>
      </w:r>
      <w:r w:rsidR="009B29DE" w:rsidRPr="00586E88">
        <w:rPr>
          <w:rFonts w:ascii="Arial" w:hAnsi="Arial" w:cs="Arial"/>
          <w:lang w:val="en-GB"/>
        </w:rPr>
        <w:t xml:space="preserve">. </w:t>
      </w:r>
      <w:r w:rsidR="009B29DE" w:rsidRPr="00586E88">
        <w:rPr>
          <w:rFonts w:ascii="Arial" w:hAnsi="Arial" w:cs="Arial"/>
          <w:lang w:val="en-GB"/>
        </w:rPr>
        <w:br/>
      </w:r>
      <w:r w:rsidR="009B29DE" w:rsidRPr="00586E88">
        <w:rPr>
          <w:rFonts w:ascii="Arial" w:hAnsi="Arial" w:cs="Arial"/>
          <w:lang w:val="en-GB"/>
        </w:rPr>
        <w:br/>
      </w:r>
      <w:r w:rsidRPr="00586E88">
        <w:rPr>
          <w:rFonts w:ascii="Arial" w:hAnsi="Arial" w:cs="Arial"/>
          <w:lang w:val="en-GB"/>
        </w:rPr>
        <w:t xml:space="preserve">Where the dispute cannot be resolved through mediation, it shall be conclusively resolved through arbitration administered by the </w:t>
      </w:r>
      <w:r>
        <w:rPr>
          <w:rFonts w:ascii="Arial" w:hAnsi="Arial" w:cs="Arial"/>
          <w:lang w:val="en-GB"/>
        </w:rPr>
        <w:t xml:space="preserve">Arbitration Institute of the </w:t>
      </w:r>
      <w:r w:rsidRPr="00586E88">
        <w:rPr>
          <w:rFonts w:ascii="Arial" w:hAnsi="Arial" w:cs="Arial"/>
          <w:lang w:val="en-GB"/>
        </w:rPr>
        <w:t>Stockholm Chamber of</w:t>
      </w:r>
      <w:r>
        <w:rPr>
          <w:rFonts w:ascii="Arial" w:hAnsi="Arial" w:cs="Arial"/>
          <w:lang w:val="en-GB"/>
        </w:rPr>
        <w:t xml:space="preserve"> Commerce</w:t>
      </w:r>
      <w:r w:rsidR="009B29DE" w:rsidRPr="00586E88">
        <w:rPr>
          <w:rFonts w:ascii="Arial" w:hAnsi="Arial" w:cs="Arial"/>
          <w:lang w:val="en-GB"/>
        </w:rPr>
        <w:t xml:space="preserve"> (SCC). </w:t>
      </w:r>
      <w:r w:rsidR="009B29DE" w:rsidRPr="00586E88">
        <w:rPr>
          <w:rFonts w:ascii="Arial" w:hAnsi="Arial" w:cs="Arial"/>
          <w:lang w:val="en-GB"/>
        </w:rPr>
        <w:br/>
      </w:r>
      <w:r w:rsidR="009B29DE" w:rsidRPr="00586E88">
        <w:rPr>
          <w:rFonts w:ascii="Arial" w:hAnsi="Arial" w:cs="Arial"/>
          <w:lang w:val="en-GB"/>
        </w:rPr>
        <w:br/>
      </w:r>
      <w:r w:rsidRPr="00586E88">
        <w:rPr>
          <w:rFonts w:ascii="Arial" w:hAnsi="Arial" w:cs="Arial"/>
          <w:lang w:val="en-GB"/>
        </w:rPr>
        <w:t>The Rules for Expedited Arbitrations shall apply unless, in light of the complexity of the case</w:t>
      </w:r>
      <w:r w:rsidR="008862F3">
        <w:rPr>
          <w:rFonts w:ascii="Arial" w:hAnsi="Arial" w:cs="Arial"/>
          <w:lang w:val="en-GB"/>
        </w:rPr>
        <w:t>,</w:t>
      </w:r>
      <w:r w:rsidRPr="00586E88">
        <w:rPr>
          <w:rFonts w:ascii="Arial" w:hAnsi="Arial" w:cs="Arial"/>
          <w:lang w:val="en-GB"/>
        </w:rPr>
        <w:t xml:space="preserve"> the value of the subject matter of the dispute</w:t>
      </w:r>
      <w:r>
        <w:rPr>
          <w:rFonts w:ascii="Arial" w:hAnsi="Arial" w:cs="Arial"/>
          <w:lang w:val="en-GB"/>
        </w:rPr>
        <w:t xml:space="preserve"> and other circumstances,</w:t>
      </w:r>
      <w:r w:rsidRPr="00586E88">
        <w:rPr>
          <w:rFonts w:ascii="Arial" w:hAnsi="Arial" w:cs="Arial"/>
          <w:lang w:val="en-GB"/>
        </w:rPr>
        <w:t xml:space="preserve"> the S</w:t>
      </w:r>
      <w:r w:rsidR="009B29DE" w:rsidRPr="00586E88">
        <w:rPr>
          <w:rFonts w:ascii="Arial" w:hAnsi="Arial" w:cs="Arial"/>
          <w:lang w:val="en-GB"/>
        </w:rPr>
        <w:t>CC</w:t>
      </w:r>
      <w:r w:rsidRPr="00586E88">
        <w:rPr>
          <w:rFonts w:ascii="Arial" w:hAnsi="Arial" w:cs="Arial"/>
          <w:lang w:val="en-GB"/>
        </w:rPr>
        <w:t xml:space="preserve"> determines</w:t>
      </w:r>
      <w:r>
        <w:rPr>
          <w:rFonts w:ascii="Arial" w:hAnsi="Arial" w:cs="Arial"/>
          <w:lang w:val="en-GB"/>
        </w:rPr>
        <w:t xml:space="preserve"> that the Rules of Arbitration shall apply. </w:t>
      </w:r>
      <w:r w:rsidRPr="00586E88">
        <w:rPr>
          <w:rFonts w:ascii="Arial" w:hAnsi="Arial" w:cs="Arial"/>
          <w:lang w:val="en-GB"/>
        </w:rPr>
        <w:t xml:space="preserve">In the latter case, the SCC shall also decide whether the arbitral tribunal shall comprise </w:t>
      </w:r>
      <w:r>
        <w:rPr>
          <w:rFonts w:ascii="Arial" w:hAnsi="Arial" w:cs="Arial"/>
          <w:lang w:val="en-GB"/>
        </w:rPr>
        <w:t>one or three arbitrators</w:t>
      </w:r>
      <w:r w:rsidR="009B29DE" w:rsidRPr="00586E88">
        <w:rPr>
          <w:rFonts w:ascii="Arial" w:hAnsi="Arial" w:cs="Arial"/>
          <w:lang w:val="en-GB"/>
        </w:rPr>
        <w:t>.</w:t>
      </w:r>
    </w:p>
    <w:p w14:paraId="25EEA408" w14:textId="77777777" w:rsidR="00F31CB1" w:rsidRPr="00DB391B" w:rsidRDefault="00586E88" w:rsidP="008862F3">
      <w:pPr>
        <w:rPr>
          <w:rFonts w:ascii="Arial" w:hAnsi="Arial" w:cs="Arial"/>
          <w:lang w:val="en-GB"/>
        </w:rPr>
      </w:pPr>
      <w:r w:rsidRPr="00CB46DC">
        <w:rPr>
          <w:rFonts w:ascii="Arial" w:hAnsi="Arial" w:cs="Arial"/>
          <w:lang w:val="en-GB"/>
        </w:rPr>
        <w:t>The place of arbitration shall</w:t>
      </w:r>
      <w:r w:rsidRPr="00586E88">
        <w:rPr>
          <w:rFonts w:ascii="Arial" w:hAnsi="Arial" w:cs="Arial"/>
          <w:lang w:val="en-GB"/>
        </w:rPr>
        <w:t xml:space="preserve"> be in</w:t>
      </w:r>
      <w:r>
        <w:rPr>
          <w:rFonts w:ascii="Arial" w:hAnsi="Arial" w:cs="Arial"/>
          <w:lang w:val="en-GB"/>
        </w:rPr>
        <w:t xml:space="preserve"> Stockholm</w:t>
      </w:r>
      <w:r w:rsidR="009B29DE" w:rsidRPr="00586E88">
        <w:rPr>
          <w:rFonts w:ascii="Arial" w:hAnsi="Arial" w:cs="Arial"/>
          <w:lang w:val="en-GB"/>
        </w:rPr>
        <w:t xml:space="preserve">. </w:t>
      </w:r>
      <w:r w:rsidRPr="00586E88">
        <w:rPr>
          <w:rFonts w:ascii="Arial" w:hAnsi="Arial" w:cs="Arial"/>
          <w:lang w:val="en-GB"/>
        </w:rPr>
        <w:t xml:space="preserve">The proceedings shall be conducted in Swedish. </w:t>
      </w:r>
      <w:r w:rsidRPr="00CB46DC">
        <w:rPr>
          <w:rFonts w:ascii="Arial" w:hAnsi="Arial" w:cs="Arial"/>
          <w:lang w:val="en-US"/>
        </w:rPr>
        <w:t xml:space="preserve">The dispute shall be governed by Swedish law. </w:t>
      </w:r>
      <w:r w:rsidRPr="00586E88">
        <w:rPr>
          <w:rFonts w:ascii="Arial" w:hAnsi="Arial" w:cs="Arial"/>
          <w:lang w:val="en-GB"/>
        </w:rPr>
        <w:t xml:space="preserve">When several arbitrators </w:t>
      </w:r>
      <w:r w:rsidRPr="00586E88">
        <w:rPr>
          <w:rFonts w:ascii="Arial" w:hAnsi="Arial" w:cs="Arial"/>
          <w:lang w:val="en-GB"/>
        </w:rPr>
        <w:lastRenderedPageBreak/>
        <w:t xml:space="preserve">participate in the decision, the voting rules for civil disputes set forth in the </w:t>
      </w:r>
      <w:r w:rsidR="008862F3">
        <w:rPr>
          <w:rFonts w:ascii="Arial" w:hAnsi="Arial" w:cs="Arial"/>
          <w:lang w:val="en-GB"/>
        </w:rPr>
        <w:t xml:space="preserve">Swedish </w:t>
      </w:r>
      <w:r>
        <w:rPr>
          <w:rFonts w:ascii="Arial" w:hAnsi="Arial" w:cs="Arial"/>
          <w:lang w:val="en-GB"/>
        </w:rPr>
        <w:t>Code of Judicial Procedure shall apply</w:t>
      </w:r>
      <w:r w:rsidR="00541DAD" w:rsidRPr="00DB391B">
        <w:rPr>
          <w:rFonts w:ascii="Arial" w:hAnsi="Arial" w:cs="Arial"/>
          <w:lang w:val="en-GB"/>
        </w:rPr>
        <w:t>.</w:t>
      </w:r>
    </w:p>
    <w:sectPr w:rsidR="00F31CB1" w:rsidRPr="00DB391B" w:rsidSect="0016782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D455C" w14:textId="77777777" w:rsidR="005D427D" w:rsidRDefault="005D427D" w:rsidP="00C373DF">
      <w:pPr>
        <w:spacing w:after="0" w:line="240" w:lineRule="auto"/>
      </w:pPr>
      <w:r>
        <w:separator/>
      </w:r>
    </w:p>
  </w:endnote>
  <w:endnote w:type="continuationSeparator" w:id="0">
    <w:p w14:paraId="24E5E8E1" w14:textId="77777777" w:rsidR="005D427D" w:rsidRDefault="005D427D" w:rsidP="00C3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18D6" w14:textId="77777777" w:rsidR="00166DC0" w:rsidRDefault="00AD4455">
    <w:pPr>
      <w:pStyle w:val="Sidfot"/>
      <w:jc w:val="right"/>
    </w:pPr>
    <w:r>
      <w:fldChar w:fldCharType="begin"/>
    </w:r>
    <w:r w:rsidR="00FB2D63">
      <w:instrText xml:space="preserve"> PAGE   \* MERGEFORMAT </w:instrText>
    </w:r>
    <w:r>
      <w:fldChar w:fldCharType="separate"/>
    </w:r>
    <w:r w:rsidR="00180606">
      <w:rPr>
        <w:noProof/>
      </w:rPr>
      <w:t>3</w:t>
    </w:r>
    <w:r>
      <w:rPr>
        <w:noProof/>
      </w:rPr>
      <w:fldChar w:fldCharType="end"/>
    </w:r>
  </w:p>
  <w:p w14:paraId="78AE95CB" w14:textId="77777777" w:rsidR="00166DC0" w:rsidRDefault="00166D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52C1" w14:textId="77777777" w:rsidR="005D427D" w:rsidRDefault="005D427D" w:rsidP="00C373DF">
      <w:pPr>
        <w:spacing w:after="0" w:line="240" w:lineRule="auto"/>
      </w:pPr>
      <w:r>
        <w:separator/>
      </w:r>
    </w:p>
  </w:footnote>
  <w:footnote w:type="continuationSeparator" w:id="0">
    <w:p w14:paraId="3D367053" w14:textId="77777777" w:rsidR="005D427D" w:rsidRDefault="005D427D" w:rsidP="00C373DF">
      <w:pPr>
        <w:spacing w:after="0" w:line="240" w:lineRule="auto"/>
      </w:pPr>
      <w:r>
        <w:continuationSeparator/>
      </w:r>
    </w:p>
  </w:footnote>
  <w:footnote w:id="1">
    <w:p w14:paraId="125DEFF2" w14:textId="77777777" w:rsidR="00DE1FBB" w:rsidRPr="00DB391B" w:rsidRDefault="00DE1FBB" w:rsidP="00DB391B">
      <w:pPr>
        <w:pStyle w:val="Fotnotstext"/>
        <w:rPr>
          <w:lang w:val="en-GB"/>
        </w:rPr>
      </w:pPr>
      <w:r w:rsidRPr="00CB46DC">
        <w:rPr>
          <w:rStyle w:val="Fotnotsreferens"/>
        </w:rPr>
        <w:footnoteRef/>
      </w:r>
      <w:r w:rsidRPr="00CB46DC">
        <w:rPr>
          <w:lang w:val="en-GB"/>
        </w:rPr>
        <w:t xml:space="preserve"> EC/648/2012</w:t>
      </w:r>
      <w:r w:rsidR="00DB391B" w:rsidRPr="00CB46DC">
        <w:rPr>
          <w:lang w:val="en-GB"/>
        </w:rPr>
        <w:t xml:space="preserve"> </w:t>
      </w:r>
      <w:r w:rsidR="00CB46DC" w:rsidRPr="00CB46DC">
        <w:rPr>
          <w:lang w:val="en-GB"/>
        </w:rPr>
        <w:t>on</w:t>
      </w:r>
      <w:r w:rsidR="00DB391B" w:rsidRPr="00CB46DC">
        <w:rPr>
          <w:lang w:val="en-GB"/>
        </w:rPr>
        <w:t xml:space="preserve"> </w:t>
      </w:r>
      <w:r w:rsidRPr="00CB46DC">
        <w:rPr>
          <w:lang w:val="en-GB"/>
        </w:rPr>
        <w:t>OTC</w:t>
      </w:r>
      <w:r w:rsidR="00DB391B" w:rsidRPr="00CB46DC">
        <w:rPr>
          <w:lang w:val="en-GB"/>
        </w:rPr>
        <w:t xml:space="preserve"> derivatives</w:t>
      </w:r>
      <w:r w:rsidRPr="00CB46DC">
        <w:rPr>
          <w:lang w:val="en-GB"/>
        </w:rPr>
        <w:t xml:space="preserve">, </w:t>
      </w:r>
      <w:r w:rsidR="00DB391B" w:rsidRPr="00CB46DC">
        <w:rPr>
          <w:lang w:val="en-GB"/>
        </w:rPr>
        <w:t>central counterpart</w:t>
      </w:r>
      <w:r w:rsidR="00CB46DC" w:rsidRPr="00CB46DC">
        <w:rPr>
          <w:lang w:val="en-GB"/>
        </w:rPr>
        <w:t>ies</w:t>
      </w:r>
      <w:r w:rsidR="00DB391B" w:rsidRPr="00CB46DC">
        <w:rPr>
          <w:lang w:val="en-GB"/>
        </w:rPr>
        <w:t xml:space="preserve"> and </w:t>
      </w:r>
      <w:r w:rsidR="00CB46DC" w:rsidRPr="00CB46DC">
        <w:rPr>
          <w:lang w:val="en-GB"/>
        </w:rPr>
        <w:t>trade</w:t>
      </w:r>
      <w:r w:rsidR="00CB46DC">
        <w:rPr>
          <w:lang w:val="en-GB"/>
        </w:rPr>
        <w:t xml:space="preserve"> repositories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B1"/>
    <w:rsid w:val="00013198"/>
    <w:rsid w:val="00017FD9"/>
    <w:rsid w:val="000270AF"/>
    <w:rsid w:val="00031E3A"/>
    <w:rsid w:val="0004167C"/>
    <w:rsid w:val="00043A74"/>
    <w:rsid w:val="000A43BE"/>
    <w:rsid w:val="000F509F"/>
    <w:rsid w:val="001159CF"/>
    <w:rsid w:val="0013603D"/>
    <w:rsid w:val="00162D4A"/>
    <w:rsid w:val="00166DC0"/>
    <w:rsid w:val="00167829"/>
    <w:rsid w:val="001707CC"/>
    <w:rsid w:val="00180606"/>
    <w:rsid w:val="001E6B44"/>
    <w:rsid w:val="00254EF6"/>
    <w:rsid w:val="00275BEF"/>
    <w:rsid w:val="002F17B2"/>
    <w:rsid w:val="00320C59"/>
    <w:rsid w:val="00327165"/>
    <w:rsid w:val="003475FF"/>
    <w:rsid w:val="00351B81"/>
    <w:rsid w:val="003771FF"/>
    <w:rsid w:val="00396FB5"/>
    <w:rsid w:val="003A2326"/>
    <w:rsid w:val="003A4309"/>
    <w:rsid w:val="003C1566"/>
    <w:rsid w:val="003C4CE0"/>
    <w:rsid w:val="003F2D1F"/>
    <w:rsid w:val="003F7FFB"/>
    <w:rsid w:val="00426101"/>
    <w:rsid w:val="00427A3E"/>
    <w:rsid w:val="004874AB"/>
    <w:rsid w:val="004B3C54"/>
    <w:rsid w:val="004B5ED9"/>
    <w:rsid w:val="00514CCC"/>
    <w:rsid w:val="00531890"/>
    <w:rsid w:val="00541DAD"/>
    <w:rsid w:val="00552D83"/>
    <w:rsid w:val="00586E88"/>
    <w:rsid w:val="005B47AF"/>
    <w:rsid w:val="005D427D"/>
    <w:rsid w:val="005E5B61"/>
    <w:rsid w:val="00627D51"/>
    <w:rsid w:val="0065584E"/>
    <w:rsid w:val="0069467F"/>
    <w:rsid w:val="006A77EC"/>
    <w:rsid w:val="006B57B9"/>
    <w:rsid w:val="00763875"/>
    <w:rsid w:val="0078613A"/>
    <w:rsid w:val="00794CF7"/>
    <w:rsid w:val="007B727B"/>
    <w:rsid w:val="007E09FB"/>
    <w:rsid w:val="00823957"/>
    <w:rsid w:val="00823ABC"/>
    <w:rsid w:val="00852BDC"/>
    <w:rsid w:val="008862F3"/>
    <w:rsid w:val="008A1A5E"/>
    <w:rsid w:val="008D46B7"/>
    <w:rsid w:val="00914DD2"/>
    <w:rsid w:val="009610A6"/>
    <w:rsid w:val="009A7F09"/>
    <w:rsid w:val="009B29DE"/>
    <w:rsid w:val="009D7B8D"/>
    <w:rsid w:val="009E01FF"/>
    <w:rsid w:val="00A41A3A"/>
    <w:rsid w:val="00A60F0C"/>
    <w:rsid w:val="00A636F1"/>
    <w:rsid w:val="00A96921"/>
    <w:rsid w:val="00AB501C"/>
    <w:rsid w:val="00AD4455"/>
    <w:rsid w:val="00AF015D"/>
    <w:rsid w:val="00B0580E"/>
    <w:rsid w:val="00B674DF"/>
    <w:rsid w:val="00B72A40"/>
    <w:rsid w:val="00BE1E36"/>
    <w:rsid w:val="00BE2E5E"/>
    <w:rsid w:val="00C26B05"/>
    <w:rsid w:val="00C3565D"/>
    <w:rsid w:val="00C373DF"/>
    <w:rsid w:val="00C51A2B"/>
    <w:rsid w:val="00C60266"/>
    <w:rsid w:val="00CA39F6"/>
    <w:rsid w:val="00CB46DC"/>
    <w:rsid w:val="00CC73F6"/>
    <w:rsid w:val="00CF2ADE"/>
    <w:rsid w:val="00CF4D37"/>
    <w:rsid w:val="00D34183"/>
    <w:rsid w:val="00D41179"/>
    <w:rsid w:val="00D627ED"/>
    <w:rsid w:val="00D66DBB"/>
    <w:rsid w:val="00DB20F3"/>
    <w:rsid w:val="00DB391B"/>
    <w:rsid w:val="00DB3FB6"/>
    <w:rsid w:val="00DD5CE6"/>
    <w:rsid w:val="00DE1FBB"/>
    <w:rsid w:val="00E06934"/>
    <w:rsid w:val="00E45579"/>
    <w:rsid w:val="00EE417B"/>
    <w:rsid w:val="00F31CB1"/>
    <w:rsid w:val="00F77A47"/>
    <w:rsid w:val="00F92CAE"/>
    <w:rsid w:val="00FB2D63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A41E"/>
  <w15:docId w15:val="{4506D8B6-9BFB-4347-B500-576B174E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2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C373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C373DF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373D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373DF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39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A39F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uiPriority w:val="99"/>
    <w:semiHidden/>
    <w:unhideWhenUsed/>
    <w:rsid w:val="00B72A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2A40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B72A40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2A40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72A40"/>
    <w:rPr>
      <w:b/>
      <w:bCs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E1FBB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DE1FBB"/>
    <w:rPr>
      <w:lang w:eastAsia="en-US"/>
    </w:rPr>
  </w:style>
  <w:style w:type="character" w:styleId="Fotnotsreferens">
    <w:name w:val="footnote reference"/>
    <w:uiPriority w:val="99"/>
    <w:semiHidden/>
    <w:unhideWhenUsed/>
    <w:rsid w:val="00DE1FBB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8613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8613A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4936-B849-4FB6-A2E0-D5AEC0712B75}"/>
</file>

<file path=customXml/itemProps2.xml><?xml version="1.0" encoding="utf-8"?>
<ds:datastoreItem xmlns:ds="http://schemas.openxmlformats.org/officeDocument/2006/customXml" ds:itemID="{FE2F0052-A368-4456-A6F3-9C2264021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99F-D83F-4FF3-BB43-19EF9B0C8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89193-504F-47C1-AFF6-3BE1486B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p901cbu</dc:creator>
  <cp:lastModifiedBy>Enel Lundblad</cp:lastModifiedBy>
  <cp:revision>2</cp:revision>
  <cp:lastPrinted>2013-07-14T14:17:00Z</cp:lastPrinted>
  <dcterms:created xsi:type="dcterms:W3CDTF">2020-09-17T11:51:00Z</dcterms:created>
  <dcterms:modified xsi:type="dcterms:W3CDTF">2020-09-17T11:51:00Z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