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8752" w14:textId="77777777" w:rsidR="001E6EED" w:rsidRPr="000A21BB" w:rsidRDefault="001E6EED" w:rsidP="00CB2F89">
      <w:pPr>
        <w:pStyle w:val="Normalwebb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0A21BB">
        <w:rPr>
          <w:rFonts w:ascii="Calibri" w:hAnsi="Calibri"/>
          <w:b/>
          <w:bCs/>
          <w:sz w:val="28"/>
          <w:szCs w:val="28"/>
        </w:rPr>
        <w:t>S</w:t>
      </w:r>
      <w:r w:rsidRPr="000A21BB">
        <w:rPr>
          <w:rFonts w:ascii="Calibri" w:hAnsi="Calibri"/>
          <w:sz w:val="28"/>
          <w:szCs w:val="28"/>
        </w:rPr>
        <w:t>VENSK</w:t>
      </w:r>
      <w:r w:rsidRPr="000A21BB">
        <w:rPr>
          <w:rFonts w:ascii="Calibri" w:hAnsi="Calibri"/>
          <w:b/>
          <w:bCs/>
          <w:sz w:val="28"/>
          <w:szCs w:val="28"/>
        </w:rPr>
        <w:t>A</w:t>
      </w:r>
      <w:r w:rsidRPr="000A21BB">
        <w:rPr>
          <w:rFonts w:ascii="Calibri" w:hAnsi="Calibri"/>
          <w:sz w:val="28"/>
          <w:szCs w:val="28"/>
        </w:rPr>
        <w:br/>
      </w:r>
      <w:r w:rsidRPr="000A21BB">
        <w:rPr>
          <w:rFonts w:ascii="Calibri" w:hAnsi="Calibri"/>
          <w:b/>
          <w:bCs/>
          <w:sz w:val="28"/>
          <w:szCs w:val="28"/>
        </w:rPr>
        <w:t>F</w:t>
      </w:r>
      <w:r w:rsidRPr="000A21BB">
        <w:rPr>
          <w:rFonts w:ascii="Calibri" w:hAnsi="Calibri"/>
          <w:sz w:val="28"/>
          <w:szCs w:val="28"/>
        </w:rPr>
        <w:t>ONDHANDLAR</w:t>
      </w:r>
      <w:r w:rsidRPr="000A21BB">
        <w:rPr>
          <w:rFonts w:ascii="Calibri" w:hAnsi="Calibri"/>
          <w:b/>
          <w:bCs/>
          <w:sz w:val="28"/>
          <w:szCs w:val="28"/>
        </w:rPr>
        <w:t>E</w:t>
      </w:r>
      <w:r w:rsidRPr="000A21BB">
        <w:rPr>
          <w:rFonts w:ascii="Calibri" w:hAnsi="Calibri"/>
          <w:sz w:val="28"/>
          <w:szCs w:val="28"/>
        </w:rPr>
        <w:br/>
      </w:r>
      <w:r w:rsidRPr="000A21BB">
        <w:rPr>
          <w:rFonts w:ascii="Calibri" w:hAnsi="Calibri"/>
          <w:b/>
          <w:bCs/>
          <w:sz w:val="28"/>
          <w:szCs w:val="28"/>
        </w:rPr>
        <w:t>F</w:t>
      </w:r>
      <w:r w:rsidRPr="000A21BB">
        <w:rPr>
          <w:rFonts w:ascii="Calibri" w:hAnsi="Calibri"/>
          <w:sz w:val="28"/>
          <w:szCs w:val="28"/>
        </w:rPr>
        <w:t>ÖRENINGE</w:t>
      </w:r>
      <w:r w:rsidRPr="000A21BB">
        <w:rPr>
          <w:rFonts w:ascii="Calibri" w:hAnsi="Calibri"/>
          <w:b/>
          <w:bCs/>
          <w:sz w:val="28"/>
          <w:szCs w:val="28"/>
        </w:rPr>
        <w:t>N</w:t>
      </w:r>
    </w:p>
    <w:p w14:paraId="3DDC2676" w14:textId="77777777" w:rsidR="00522230" w:rsidRPr="000A21BB" w:rsidRDefault="00522230" w:rsidP="00CB2F89">
      <w:pPr>
        <w:pStyle w:val="Brdtext"/>
        <w:rPr>
          <w:rFonts w:ascii="Calibri" w:hAnsi="Calibri"/>
          <w:b/>
          <w:sz w:val="28"/>
          <w:szCs w:val="28"/>
          <w:u w:val="none"/>
        </w:rPr>
      </w:pPr>
    </w:p>
    <w:p w14:paraId="41BC5642" w14:textId="77777777" w:rsidR="00522230" w:rsidRPr="00F905B9" w:rsidRDefault="00522230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7145F033" w14:textId="77777777" w:rsidR="00CB2B7B" w:rsidRDefault="00CB2B7B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231CC6A5" w14:textId="77777777" w:rsidR="008E5E95" w:rsidRDefault="008E5E95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21FD73FF" w14:textId="77777777" w:rsidR="008E5E95" w:rsidRDefault="008E5E95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1357BF21" w14:textId="77777777" w:rsidR="008E5E95" w:rsidRDefault="008E5E95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284BFF06" w14:textId="77777777" w:rsidR="008E5E95" w:rsidRDefault="008E5E95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06835F34" w14:textId="77777777" w:rsidR="00CB2B7B" w:rsidRPr="003F272B" w:rsidRDefault="00152C86" w:rsidP="00CB2F89">
      <w:pPr>
        <w:pStyle w:val="Brdtext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sz w:val="28"/>
          <w:szCs w:val="28"/>
          <w:u w:val="none"/>
        </w:rPr>
        <w:t xml:space="preserve">Ändringar </w:t>
      </w:r>
      <w:r w:rsidR="00B63C54">
        <w:rPr>
          <w:rFonts w:ascii="Calibri" w:hAnsi="Calibri"/>
          <w:b/>
          <w:sz w:val="28"/>
          <w:szCs w:val="28"/>
          <w:u w:val="none"/>
        </w:rPr>
        <w:t xml:space="preserve">av ISK-villkoren beslutade av juristgruppen den </w:t>
      </w:r>
      <w:r w:rsidR="009F732E">
        <w:rPr>
          <w:rFonts w:ascii="Calibri" w:hAnsi="Calibri"/>
          <w:b/>
          <w:sz w:val="28"/>
          <w:szCs w:val="28"/>
          <w:u w:val="none"/>
        </w:rPr>
        <w:t>4 december</w:t>
      </w:r>
      <w:r w:rsidR="001B0E01">
        <w:rPr>
          <w:rFonts w:ascii="Calibri" w:hAnsi="Calibri"/>
          <w:b/>
          <w:sz w:val="28"/>
          <w:szCs w:val="28"/>
          <w:u w:val="none"/>
        </w:rPr>
        <w:t xml:space="preserve"> 2018</w:t>
      </w:r>
    </w:p>
    <w:p w14:paraId="78E7EF15" w14:textId="77777777" w:rsidR="005804DA" w:rsidRDefault="005804DA" w:rsidP="00CB2F89">
      <w:pPr>
        <w:pStyle w:val="Brdtext"/>
        <w:rPr>
          <w:rFonts w:ascii="Calibri" w:hAnsi="Calibri"/>
          <w:b/>
          <w:sz w:val="24"/>
          <w:u w:val="none"/>
        </w:rPr>
      </w:pPr>
    </w:p>
    <w:p w14:paraId="74CBE45F" w14:textId="77777777" w:rsidR="00227E37" w:rsidRDefault="00227E37" w:rsidP="00227E37">
      <w:pPr>
        <w:rPr>
          <w:rFonts w:ascii="Calibri" w:hAnsi="Calibri"/>
        </w:rPr>
      </w:pPr>
    </w:p>
    <w:p w14:paraId="4D051882" w14:textId="77777777" w:rsidR="00CD683A" w:rsidRDefault="00CD683A" w:rsidP="00CD683A">
      <w:pPr>
        <w:rPr>
          <w:rFonts w:ascii="Calibri" w:hAnsi="Calibri"/>
        </w:rPr>
      </w:pPr>
      <w:r w:rsidRPr="00F905B9">
        <w:rPr>
          <w:rFonts w:ascii="Calibri" w:hAnsi="Calibri"/>
        </w:rPr>
        <w:t xml:space="preserve">De huvudsakliga förändringarna </w:t>
      </w:r>
      <w:r w:rsidR="009F732E">
        <w:rPr>
          <w:rFonts w:ascii="Calibri" w:hAnsi="Calibri"/>
        </w:rPr>
        <w:t xml:space="preserve">är </w:t>
      </w:r>
      <w:r w:rsidRPr="00F905B9">
        <w:rPr>
          <w:rFonts w:ascii="Calibri" w:hAnsi="Calibri"/>
        </w:rPr>
        <w:t>följande</w:t>
      </w:r>
      <w:r>
        <w:rPr>
          <w:rFonts w:ascii="Calibri" w:hAnsi="Calibri"/>
        </w:rPr>
        <w:t>.</w:t>
      </w:r>
      <w:r w:rsidRPr="00F905B9">
        <w:rPr>
          <w:rFonts w:ascii="Calibri" w:hAnsi="Calibri"/>
        </w:rPr>
        <w:t xml:space="preserve"> </w:t>
      </w:r>
    </w:p>
    <w:p w14:paraId="578A00C7" w14:textId="77777777" w:rsidR="00CD683A" w:rsidRPr="00A93A94" w:rsidRDefault="00CD683A" w:rsidP="00227E37">
      <w:pPr>
        <w:pStyle w:val="Brdtext"/>
        <w:rPr>
          <w:rFonts w:ascii="Calibri" w:hAnsi="Calibri"/>
          <w:b/>
          <w:sz w:val="28"/>
          <w:szCs w:val="28"/>
          <w:u w:val="none"/>
        </w:rPr>
      </w:pPr>
    </w:p>
    <w:p w14:paraId="644CAC0E" w14:textId="77777777" w:rsidR="007F2D53" w:rsidRDefault="00D0355A" w:rsidP="004D7921">
      <w:pPr>
        <w:numPr>
          <w:ilvl w:val="0"/>
          <w:numId w:val="4"/>
        </w:numPr>
        <w:rPr>
          <w:rFonts w:ascii="Calibri" w:hAnsi="Calibri"/>
        </w:rPr>
      </w:pPr>
      <w:r w:rsidRPr="007F2D53">
        <w:rPr>
          <w:rFonts w:ascii="Calibri" w:hAnsi="Calibri"/>
        </w:rPr>
        <w:t>N</w:t>
      </w:r>
      <w:r w:rsidR="00CD683A">
        <w:rPr>
          <w:rFonts w:ascii="Calibri" w:hAnsi="Calibri"/>
        </w:rPr>
        <w:t xml:space="preserve">ytt förtydligande i fotnot att </w:t>
      </w:r>
      <w:r w:rsidR="001F2063" w:rsidRPr="007F2D53">
        <w:rPr>
          <w:rFonts w:ascii="Calibri" w:hAnsi="Calibri"/>
        </w:rPr>
        <w:t>d</w:t>
      </w:r>
      <w:r w:rsidR="001D6089" w:rsidRPr="007F2D53">
        <w:rPr>
          <w:rFonts w:ascii="Calibri" w:hAnsi="Calibri"/>
        </w:rPr>
        <w:t>efinition</w:t>
      </w:r>
      <w:r w:rsidR="00CD683A">
        <w:rPr>
          <w:rFonts w:ascii="Calibri" w:hAnsi="Calibri"/>
        </w:rPr>
        <w:t xml:space="preserve">en av ”investeringsföretag” inte inkluderar fondbolag eller AIF-förvaltare eller utländska motsvarigheter som enligt 5 § </w:t>
      </w:r>
      <w:r w:rsidR="003F272B">
        <w:rPr>
          <w:rFonts w:ascii="Calibri" w:hAnsi="Calibri"/>
        </w:rPr>
        <w:t xml:space="preserve">i lagen </w:t>
      </w:r>
      <w:r w:rsidR="00CD683A">
        <w:rPr>
          <w:rFonts w:ascii="Calibri" w:hAnsi="Calibri"/>
        </w:rPr>
        <w:t xml:space="preserve">får ingå avtal om investeringssparkonto. </w:t>
      </w:r>
      <w:r w:rsidR="003F272B">
        <w:rPr>
          <w:rFonts w:ascii="Calibri" w:hAnsi="Calibri"/>
        </w:rPr>
        <w:t xml:space="preserve">Föreningens villkor är mao inte tillämpliga på sådana företag. </w:t>
      </w:r>
    </w:p>
    <w:p w14:paraId="6C718626" w14:textId="77777777" w:rsidR="003E6F76" w:rsidRDefault="003E6F76" w:rsidP="003E6F76">
      <w:pPr>
        <w:ind w:left="360"/>
        <w:rPr>
          <w:rFonts w:ascii="Calibri" w:hAnsi="Calibri"/>
        </w:rPr>
      </w:pPr>
    </w:p>
    <w:p w14:paraId="5A3463AD" w14:textId="77777777" w:rsidR="003E6F76" w:rsidRDefault="003E6F76" w:rsidP="004D792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Huvudregeln är</w:t>
      </w:r>
      <w:r w:rsidR="003F272B">
        <w:rPr>
          <w:rFonts w:ascii="Calibri" w:hAnsi="Calibri"/>
        </w:rPr>
        <w:t>,</w:t>
      </w:r>
      <w:r>
        <w:rPr>
          <w:rFonts w:ascii="Calibri" w:hAnsi="Calibri"/>
        </w:rPr>
        <w:t xml:space="preserve"> precis som tidigare</w:t>
      </w:r>
      <w:r w:rsidR="003F272B">
        <w:rPr>
          <w:rFonts w:ascii="Calibri" w:hAnsi="Calibri"/>
        </w:rPr>
        <w:t>,</w:t>
      </w:r>
      <w:r>
        <w:rPr>
          <w:rFonts w:ascii="Calibri" w:hAnsi="Calibri"/>
        </w:rPr>
        <w:t xml:space="preserve"> att kunden </w:t>
      </w:r>
      <w:r w:rsidR="00CB2B7B">
        <w:rPr>
          <w:rFonts w:ascii="Calibri" w:hAnsi="Calibri"/>
        </w:rPr>
        <w:t xml:space="preserve">vid var tid </w:t>
      </w:r>
      <w:r w:rsidR="003F272B">
        <w:rPr>
          <w:rFonts w:ascii="Calibri" w:hAnsi="Calibri"/>
        </w:rPr>
        <w:t xml:space="preserve">ska </w:t>
      </w:r>
      <w:r>
        <w:rPr>
          <w:rFonts w:ascii="Calibri" w:hAnsi="Calibri"/>
        </w:rPr>
        <w:t>hålla sig uppdaterad om vilka tillgångar som</w:t>
      </w:r>
      <w:r w:rsidR="00CB2B7B">
        <w:rPr>
          <w:rFonts w:ascii="Calibri" w:hAnsi="Calibri"/>
        </w:rPr>
        <w:t xml:space="preserve"> </w:t>
      </w:r>
      <w:r>
        <w:rPr>
          <w:rFonts w:ascii="Calibri" w:hAnsi="Calibri"/>
        </w:rPr>
        <w:t>får förvaras på investeringssparkontot. I 1.1.4 in</w:t>
      </w:r>
      <w:r w:rsidR="003F272B">
        <w:rPr>
          <w:rFonts w:ascii="Calibri" w:hAnsi="Calibri"/>
        </w:rPr>
        <w:t xml:space="preserve">förs dock ett undantag från denna regel </w:t>
      </w:r>
      <w:r>
        <w:rPr>
          <w:rFonts w:ascii="Calibri" w:hAnsi="Calibri"/>
        </w:rPr>
        <w:t xml:space="preserve">som innebär att institutet </w:t>
      </w:r>
      <w:r w:rsidR="00CB2B7B">
        <w:rPr>
          <w:rFonts w:ascii="Calibri" w:hAnsi="Calibri"/>
        </w:rPr>
        <w:t xml:space="preserve">ska </w:t>
      </w:r>
      <w:r>
        <w:rPr>
          <w:rFonts w:ascii="Calibri" w:hAnsi="Calibri"/>
        </w:rPr>
        <w:t xml:space="preserve">meddela kunden om sådana ändringar som innebär en begränsning av vad som utgör Godkända Investeringstillgångar. </w:t>
      </w:r>
    </w:p>
    <w:p w14:paraId="26E0D810" w14:textId="77777777" w:rsidR="00CB2B7B" w:rsidRDefault="00CB2B7B" w:rsidP="00CB2B7B">
      <w:pPr>
        <w:pStyle w:val="Liststycke"/>
        <w:rPr>
          <w:rFonts w:ascii="Calibri" w:hAnsi="Calibri"/>
        </w:rPr>
      </w:pPr>
    </w:p>
    <w:p w14:paraId="1ACDAD17" w14:textId="77777777" w:rsidR="00CB2B7B" w:rsidRDefault="00CB2B7B" w:rsidP="004D792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 avsnitt 4 görs en del redaktionella ändringar som syftar till</w:t>
      </w:r>
      <w:r w:rsidR="0039413E">
        <w:rPr>
          <w:rFonts w:ascii="Calibri" w:hAnsi="Calibri"/>
        </w:rPr>
        <w:t xml:space="preserve"> att göra villkoren mer k</w:t>
      </w:r>
      <w:r w:rsidR="003F272B">
        <w:rPr>
          <w:rFonts w:ascii="Calibri" w:hAnsi="Calibri"/>
        </w:rPr>
        <w:t>onsumentv</w:t>
      </w:r>
      <w:r>
        <w:rPr>
          <w:rFonts w:ascii="Calibri" w:hAnsi="Calibri"/>
        </w:rPr>
        <w:t>änliga. Bland annat införs i avsnitt 4.1 en erinran om att det finns regler om flytt av icke godkända tillgångar i avsnitt 4.4.</w:t>
      </w:r>
    </w:p>
    <w:p w14:paraId="5F760593" w14:textId="77777777" w:rsidR="00CB2B7B" w:rsidRDefault="00CB2B7B" w:rsidP="00CB2B7B">
      <w:pPr>
        <w:pStyle w:val="Liststycke"/>
        <w:rPr>
          <w:rFonts w:ascii="Calibri" w:hAnsi="Calibri"/>
        </w:rPr>
      </w:pPr>
    </w:p>
    <w:p w14:paraId="4DC0B769" w14:textId="77777777" w:rsidR="00CB2B7B" w:rsidRDefault="00CB2B7B" w:rsidP="00CB2B7B">
      <w:pPr>
        <w:numPr>
          <w:ilvl w:val="0"/>
          <w:numId w:val="4"/>
        </w:numPr>
        <w:rPr>
          <w:rFonts w:ascii="Calibri" w:hAnsi="Calibri"/>
        </w:rPr>
      </w:pPr>
      <w:r w:rsidRPr="007F4042">
        <w:rPr>
          <w:rFonts w:ascii="Calibri" w:hAnsi="Calibri"/>
        </w:rPr>
        <w:t xml:space="preserve">Vid handel i finansiella instrument gäller institutets riktlinjer och allmänna villkor för handel </w:t>
      </w:r>
      <w:proofErr w:type="gramStart"/>
      <w:r w:rsidRPr="007F4042">
        <w:rPr>
          <w:rFonts w:ascii="Calibri" w:hAnsi="Calibri"/>
        </w:rPr>
        <w:t>m.m.</w:t>
      </w:r>
      <w:proofErr w:type="gramEnd"/>
      <w:r w:rsidRPr="007F4042">
        <w:rPr>
          <w:rFonts w:ascii="Calibri" w:hAnsi="Calibri"/>
        </w:rPr>
        <w:t xml:space="preserve"> I </w:t>
      </w:r>
      <w:r w:rsidR="0039413E">
        <w:rPr>
          <w:rFonts w:ascii="Calibri" w:hAnsi="Calibri"/>
        </w:rPr>
        <w:t>ISK-</w:t>
      </w:r>
      <w:r>
        <w:rPr>
          <w:rFonts w:ascii="Calibri" w:hAnsi="Calibri"/>
        </w:rPr>
        <w:t xml:space="preserve">villkoren </w:t>
      </w:r>
      <w:r w:rsidRPr="007F4042">
        <w:rPr>
          <w:rFonts w:ascii="Calibri" w:hAnsi="Calibri"/>
        </w:rPr>
        <w:t>har lagts till en skyldighet för institut</w:t>
      </w:r>
      <w:r w:rsidR="0039413E">
        <w:rPr>
          <w:rFonts w:ascii="Calibri" w:hAnsi="Calibri"/>
        </w:rPr>
        <w:t>et att, på förfrågan från kund</w:t>
      </w:r>
      <w:r w:rsidRPr="007F4042">
        <w:rPr>
          <w:rFonts w:ascii="Calibri" w:hAnsi="Calibri"/>
        </w:rPr>
        <w:t xml:space="preserve">, </w:t>
      </w:r>
      <w:r w:rsidR="001B0E01">
        <w:rPr>
          <w:rFonts w:ascii="Calibri" w:hAnsi="Calibri"/>
        </w:rPr>
        <w:t xml:space="preserve">tillhandahålla kunden gällande riktlinjer och villkor [i pappersformat eller på sin hemsida]. </w:t>
      </w:r>
      <w:r w:rsidR="00152C86">
        <w:rPr>
          <w:rFonts w:ascii="Calibri" w:hAnsi="Calibri"/>
        </w:rPr>
        <w:t>(</w:t>
      </w:r>
      <w:r w:rsidR="009F732E">
        <w:rPr>
          <w:rFonts w:ascii="Calibri" w:hAnsi="Calibri"/>
        </w:rPr>
        <w:t xml:space="preserve">Motsvarande </w:t>
      </w:r>
      <w:r>
        <w:rPr>
          <w:rFonts w:ascii="Calibri" w:hAnsi="Calibri"/>
        </w:rPr>
        <w:t xml:space="preserve">bestämmelse </w:t>
      </w:r>
      <w:r w:rsidR="009F732E">
        <w:rPr>
          <w:rFonts w:ascii="Calibri" w:hAnsi="Calibri"/>
        </w:rPr>
        <w:t xml:space="preserve">är </w:t>
      </w:r>
      <w:r>
        <w:rPr>
          <w:rFonts w:ascii="Calibri" w:hAnsi="Calibri"/>
        </w:rPr>
        <w:t xml:space="preserve">sedan tidigare </w:t>
      </w:r>
      <w:r w:rsidR="009F732E">
        <w:rPr>
          <w:rFonts w:ascii="Calibri" w:hAnsi="Calibri"/>
        </w:rPr>
        <w:t xml:space="preserve">införd i </w:t>
      </w:r>
      <w:r>
        <w:rPr>
          <w:rFonts w:ascii="Calibri" w:hAnsi="Calibri"/>
        </w:rPr>
        <w:t>depåbestämmelserna</w:t>
      </w:r>
      <w:r w:rsidR="00152C86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75491D45" w14:textId="77777777" w:rsidR="00252C97" w:rsidRDefault="00252C97" w:rsidP="00252C97">
      <w:pPr>
        <w:pStyle w:val="Liststycke"/>
        <w:rPr>
          <w:rFonts w:ascii="Calibri" w:hAnsi="Calibri"/>
        </w:rPr>
      </w:pPr>
    </w:p>
    <w:p w14:paraId="10F4D003" w14:textId="77777777" w:rsidR="00252C97" w:rsidRPr="002911A1" w:rsidRDefault="00252C97" w:rsidP="002911A1">
      <w:pPr>
        <w:numPr>
          <w:ilvl w:val="0"/>
          <w:numId w:val="4"/>
        </w:numPr>
        <w:rPr>
          <w:rFonts w:ascii="Calibri" w:hAnsi="Calibri" w:cs="Calibri"/>
        </w:rPr>
      </w:pPr>
      <w:r w:rsidRPr="002911A1">
        <w:rPr>
          <w:rFonts w:ascii="Calibri" w:hAnsi="Calibri" w:cs="Calibri"/>
        </w:rPr>
        <w:t xml:space="preserve">I avsnitt 12 införs nya regler om uppsägning av investeringssparkontot. Investeringsföretaget kan säga upp avtalet per brev till upphörande [60 dagar] efter att kunden enligt 16.1.1 ska anses ha fått meddelandet. </w:t>
      </w:r>
      <w:bookmarkStart w:id="1" w:name="_Ref524762964"/>
      <w:r w:rsidRPr="002911A1">
        <w:rPr>
          <w:rFonts w:ascii="Calibri" w:hAnsi="Calibri" w:cs="Calibri"/>
        </w:rPr>
        <w:t xml:space="preserve">Kunden kan säga upp </w:t>
      </w:r>
      <w:r w:rsidR="008E5E95" w:rsidRPr="002911A1">
        <w:rPr>
          <w:rFonts w:ascii="Calibri" w:hAnsi="Calibri" w:cs="Calibri"/>
        </w:rPr>
        <w:t>a</w:t>
      </w:r>
      <w:r w:rsidRPr="002911A1">
        <w:rPr>
          <w:rFonts w:ascii="Calibri" w:hAnsi="Calibri" w:cs="Calibri"/>
        </w:rPr>
        <w:t xml:space="preserve">vtalet på de sätt som framgår enligt </w:t>
      </w:r>
      <w:r w:rsidR="006A6A85">
        <w:rPr>
          <w:rFonts w:ascii="Calibri" w:hAnsi="Calibri" w:cs="Calibri"/>
        </w:rPr>
        <w:t xml:space="preserve">16.2.1 </w:t>
      </w:r>
      <w:r w:rsidRPr="002911A1">
        <w:rPr>
          <w:rFonts w:ascii="Calibri" w:hAnsi="Calibri" w:cs="Calibri"/>
        </w:rPr>
        <w:t>dvs. via Investeringsföretagets internet-eller telefontjänst, genom besök eller genom att skicka brev) till upphörande [30 dagar] efter det institutet enligt</w:t>
      </w:r>
      <w:r w:rsidR="006A6A85">
        <w:rPr>
          <w:rFonts w:ascii="Calibri" w:hAnsi="Calibri" w:cs="Calibri"/>
        </w:rPr>
        <w:t xml:space="preserve"> 16.2.2 </w:t>
      </w:r>
      <w:r w:rsidRPr="002911A1">
        <w:rPr>
          <w:rFonts w:ascii="Calibri" w:hAnsi="Calibri" w:cs="Calibri"/>
        </w:rPr>
        <w:t>ska anses ha fått meddelandet.</w:t>
      </w:r>
      <w:bookmarkEnd w:id="1"/>
    </w:p>
    <w:p w14:paraId="1ADCC4F4" w14:textId="77777777" w:rsidR="00CB2B7B" w:rsidRDefault="00CB2B7B" w:rsidP="00CB2B7B">
      <w:pPr>
        <w:pStyle w:val="Liststycke"/>
        <w:rPr>
          <w:rFonts w:ascii="Calibri" w:hAnsi="Calibri"/>
        </w:rPr>
      </w:pPr>
    </w:p>
    <w:p w14:paraId="227C9185" w14:textId="77777777" w:rsidR="00CB2B7B" w:rsidRDefault="009F732E" w:rsidP="00CB2B7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 avsnitt 15.1.2 </w:t>
      </w:r>
      <w:r w:rsidR="003F272B">
        <w:rPr>
          <w:rFonts w:ascii="Calibri" w:hAnsi="Calibri"/>
        </w:rPr>
        <w:t>förtydliga</w:t>
      </w:r>
      <w:r w:rsidR="00CB2B7B">
        <w:rPr>
          <w:rFonts w:ascii="Calibri" w:hAnsi="Calibri"/>
        </w:rPr>
        <w:t xml:space="preserve">s att en kund som inte godtar en ändring </w:t>
      </w:r>
      <w:r w:rsidR="003F272B">
        <w:rPr>
          <w:rFonts w:ascii="Calibri" w:hAnsi="Calibri"/>
        </w:rPr>
        <w:t xml:space="preserve">av villkor eller avgifter </w:t>
      </w:r>
      <w:r w:rsidR="00CB2B7B">
        <w:rPr>
          <w:rFonts w:ascii="Calibri" w:hAnsi="Calibri"/>
        </w:rPr>
        <w:t>inom 60 dagar f</w:t>
      </w:r>
      <w:r w:rsidR="0039413E">
        <w:rPr>
          <w:rFonts w:ascii="Calibri" w:hAnsi="Calibri"/>
        </w:rPr>
        <w:t>rå</w:t>
      </w:r>
      <w:r w:rsidR="00CB2B7B">
        <w:rPr>
          <w:rFonts w:ascii="Calibri" w:hAnsi="Calibri"/>
        </w:rPr>
        <w:t>n det att kunden ska anses ha mottagit meddelandet har rätt att säga upp avtalet med omedelbar verkan. I tidigare lydelse stod ”utan att iakttagande av i 12.1.2 angiven uppsägningstid”.</w:t>
      </w:r>
      <w:r w:rsidR="003F272B">
        <w:rPr>
          <w:rFonts w:ascii="Calibri" w:hAnsi="Calibri"/>
        </w:rPr>
        <w:t xml:space="preserve"> </w:t>
      </w:r>
      <w:r w:rsidR="00CB2B7B">
        <w:rPr>
          <w:rFonts w:ascii="Calibri" w:hAnsi="Calibri"/>
        </w:rPr>
        <w:t xml:space="preserve"> </w:t>
      </w:r>
    </w:p>
    <w:p w14:paraId="1FE75CBB" w14:textId="77777777" w:rsidR="00D049B3" w:rsidRDefault="00D049B3" w:rsidP="00D049B3">
      <w:pPr>
        <w:pStyle w:val="Liststycke"/>
        <w:rPr>
          <w:rFonts w:ascii="Calibri" w:hAnsi="Calibri"/>
        </w:rPr>
      </w:pPr>
    </w:p>
    <w:p w14:paraId="09DD3B5E" w14:textId="77777777" w:rsidR="00CB2B7B" w:rsidRPr="00B63C54" w:rsidRDefault="00D049B3" w:rsidP="00AA3C19">
      <w:pPr>
        <w:numPr>
          <w:ilvl w:val="0"/>
          <w:numId w:val="4"/>
        </w:numPr>
        <w:rPr>
          <w:rFonts w:ascii="Calibri" w:hAnsi="Calibri"/>
        </w:rPr>
      </w:pPr>
      <w:r w:rsidRPr="00B63C54">
        <w:rPr>
          <w:rFonts w:ascii="Calibri" w:hAnsi="Calibri"/>
        </w:rPr>
        <w:t xml:space="preserve">I avsnitt 16 tas in samma meddelandebestämmelse som finns </w:t>
      </w:r>
      <w:r w:rsidR="00941FDA" w:rsidRPr="00B63C54">
        <w:rPr>
          <w:rFonts w:ascii="Calibri" w:hAnsi="Calibri"/>
        </w:rPr>
        <w:t xml:space="preserve">i </w:t>
      </w:r>
      <w:r w:rsidRPr="00B63C54">
        <w:rPr>
          <w:rFonts w:ascii="Calibri" w:hAnsi="Calibri"/>
        </w:rPr>
        <w:t xml:space="preserve">depåbestämmelserna och allmänna villkor för handel. </w:t>
      </w:r>
    </w:p>
    <w:p w14:paraId="073B38ED" w14:textId="77777777" w:rsidR="0039413E" w:rsidRDefault="0039413E" w:rsidP="0039413E">
      <w:pPr>
        <w:pStyle w:val="Liststycke"/>
        <w:rPr>
          <w:rFonts w:ascii="Calibri" w:hAnsi="Calibri"/>
        </w:rPr>
      </w:pPr>
    </w:p>
    <w:p w14:paraId="0603A349" w14:textId="77777777" w:rsidR="00D75B78" w:rsidRDefault="00E424FA" w:rsidP="00CB2F89">
      <w:pPr>
        <w:ind w:left="360"/>
        <w:jc w:val="center"/>
        <w:rPr>
          <w:rFonts w:ascii="Calibri" w:hAnsi="Calibri"/>
        </w:rPr>
      </w:pPr>
      <w:r w:rsidRPr="00F905B9">
        <w:rPr>
          <w:rFonts w:ascii="Calibri" w:hAnsi="Calibri"/>
        </w:rPr>
        <w:t>_______________________</w:t>
      </w:r>
      <w:r w:rsidR="00991B30" w:rsidRPr="00F905B9">
        <w:rPr>
          <w:rFonts w:ascii="Calibri" w:hAnsi="Calibri"/>
        </w:rPr>
        <w:br/>
      </w:r>
    </w:p>
    <w:p w14:paraId="549BCA10" w14:textId="77777777" w:rsidR="00406E95" w:rsidRPr="00F905B9" w:rsidRDefault="00406E95" w:rsidP="00CB2F89">
      <w:pPr>
        <w:ind w:left="360"/>
        <w:jc w:val="center"/>
        <w:rPr>
          <w:rFonts w:ascii="Calibri" w:hAnsi="Calibri"/>
        </w:rPr>
      </w:pPr>
    </w:p>
    <w:sectPr w:rsidR="00406E95" w:rsidRPr="00F905B9" w:rsidSect="000C737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4871" w14:textId="77777777" w:rsidR="004F1B8E" w:rsidRDefault="004F1B8E">
      <w:r>
        <w:separator/>
      </w:r>
    </w:p>
  </w:endnote>
  <w:endnote w:type="continuationSeparator" w:id="0">
    <w:p w14:paraId="6EE10B64" w14:textId="77777777" w:rsidR="004F1B8E" w:rsidRDefault="004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BB" w14:textId="77777777" w:rsidR="007C71BA" w:rsidRPr="002149BC" w:rsidRDefault="007C71BA" w:rsidP="000C737E">
    <w:pPr>
      <w:pStyle w:val="Normalwebb"/>
      <w:jc w:val="center"/>
      <w:rPr>
        <w:b/>
        <w:sz w:val="20"/>
        <w:szCs w:val="20"/>
      </w:rPr>
    </w:pPr>
    <w:r w:rsidRPr="002149BC">
      <w:rPr>
        <w:b/>
        <w:sz w:val="20"/>
        <w:szCs w:val="20"/>
      </w:rPr>
      <w:t>S</w:t>
    </w:r>
    <w:r w:rsidRPr="002149BC">
      <w:rPr>
        <w:sz w:val="15"/>
        <w:szCs w:val="15"/>
      </w:rPr>
      <w:t>VENSK</w:t>
    </w:r>
    <w:r w:rsidRPr="002149BC">
      <w:rPr>
        <w:b/>
        <w:sz w:val="20"/>
        <w:szCs w:val="20"/>
      </w:rPr>
      <w:t>A</w:t>
    </w:r>
    <w:r w:rsidRPr="002149BC">
      <w:rPr>
        <w:sz w:val="20"/>
        <w:szCs w:val="20"/>
      </w:rPr>
      <w:t xml:space="preserve"> </w:t>
    </w:r>
    <w:r w:rsidRPr="002149BC">
      <w:rPr>
        <w:b/>
        <w:sz w:val="20"/>
        <w:szCs w:val="20"/>
      </w:rPr>
      <w:t>F</w:t>
    </w:r>
    <w:r w:rsidRPr="002149BC">
      <w:rPr>
        <w:sz w:val="15"/>
        <w:szCs w:val="15"/>
      </w:rPr>
      <w:t>ONDHANDLAR</w:t>
    </w:r>
    <w:r w:rsidRPr="002149BC">
      <w:rPr>
        <w:b/>
        <w:sz w:val="20"/>
        <w:szCs w:val="20"/>
      </w:rPr>
      <w:t>E</w:t>
    </w:r>
    <w:r w:rsidRPr="002149BC">
      <w:rPr>
        <w:sz w:val="20"/>
        <w:szCs w:val="20"/>
      </w:rPr>
      <w:t xml:space="preserve"> </w:t>
    </w:r>
    <w:r w:rsidRPr="002149BC">
      <w:rPr>
        <w:b/>
        <w:sz w:val="20"/>
        <w:szCs w:val="20"/>
      </w:rPr>
      <w:t>F</w:t>
    </w:r>
    <w:r w:rsidRPr="002149BC">
      <w:rPr>
        <w:sz w:val="15"/>
        <w:szCs w:val="15"/>
      </w:rPr>
      <w:t>ÖRENINGE</w:t>
    </w:r>
    <w:r w:rsidRPr="002149BC">
      <w:rPr>
        <w:b/>
        <w:sz w:val="20"/>
        <w:szCs w:val="20"/>
      </w:rPr>
      <w:t>N</w:t>
    </w:r>
  </w:p>
  <w:p w14:paraId="5940B5E6" w14:textId="77777777" w:rsidR="007C71BA" w:rsidRDefault="007C71BA" w:rsidP="000C737E">
    <w:pPr>
      <w:pStyle w:val="Normalwebb"/>
      <w:jc w:val="center"/>
      <w:rPr>
        <w:sz w:val="20"/>
        <w:szCs w:val="20"/>
      </w:rPr>
    </w:pPr>
    <w:r>
      <w:rPr>
        <w:sz w:val="20"/>
        <w:szCs w:val="20"/>
      </w:rPr>
      <w:t>Blasieholmsgatan 4B, 4tr, Box 1426, S-111 84 STOCKHOLM SWEDEN</w:t>
    </w:r>
    <w:r>
      <w:rPr>
        <w:sz w:val="20"/>
        <w:szCs w:val="20"/>
      </w:rPr>
      <w:br/>
    </w:r>
    <w:proofErr w:type="gramStart"/>
    <w:r>
      <w:rPr>
        <w:sz w:val="20"/>
        <w:szCs w:val="20"/>
      </w:rPr>
      <w:t>Telefon växel</w:t>
    </w:r>
    <w:proofErr w:type="gramEnd"/>
    <w:r>
      <w:rPr>
        <w:sz w:val="20"/>
        <w:szCs w:val="20"/>
      </w:rPr>
      <w:t xml:space="preserve"> +46 (0)8-562 607 00</w:t>
    </w:r>
  </w:p>
  <w:p w14:paraId="228F1CF6" w14:textId="77777777" w:rsidR="007C71BA" w:rsidRDefault="007C71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E1C3" w14:textId="77777777" w:rsidR="007C71BA" w:rsidRPr="002149BC" w:rsidRDefault="007C71BA" w:rsidP="004B2615">
    <w:pPr>
      <w:pStyle w:val="Normalwebb"/>
      <w:jc w:val="center"/>
      <w:rPr>
        <w:b/>
        <w:sz w:val="20"/>
        <w:szCs w:val="20"/>
      </w:rPr>
    </w:pPr>
    <w:r w:rsidRPr="002149BC">
      <w:rPr>
        <w:b/>
        <w:sz w:val="20"/>
        <w:szCs w:val="20"/>
      </w:rPr>
      <w:t>S</w:t>
    </w:r>
    <w:r w:rsidRPr="002149BC">
      <w:rPr>
        <w:sz w:val="15"/>
        <w:szCs w:val="15"/>
      </w:rPr>
      <w:t>VENSK</w:t>
    </w:r>
    <w:r w:rsidRPr="002149BC">
      <w:rPr>
        <w:b/>
        <w:sz w:val="20"/>
        <w:szCs w:val="20"/>
      </w:rPr>
      <w:t>A</w:t>
    </w:r>
    <w:r w:rsidRPr="002149BC">
      <w:rPr>
        <w:sz w:val="20"/>
        <w:szCs w:val="20"/>
      </w:rPr>
      <w:t xml:space="preserve"> </w:t>
    </w:r>
    <w:r w:rsidRPr="002149BC">
      <w:rPr>
        <w:b/>
        <w:sz w:val="20"/>
        <w:szCs w:val="20"/>
      </w:rPr>
      <w:t>F</w:t>
    </w:r>
    <w:r w:rsidRPr="002149BC">
      <w:rPr>
        <w:sz w:val="15"/>
        <w:szCs w:val="15"/>
      </w:rPr>
      <w:t>ONDHANDLAR</w:t>
    </w:r>
    <w:r w:rsidRPr="002149BC">
      <w:rPr>
        <w:b/>
        <w:sz w:val="20"/>
        <w:szCs w:val="20"/>
      </w:rPr>
      <w:t>E</w:t>
    </w:r>
    <w:r w:rsidRPr="002149BC">
      <w:rPr>
        <w:sz w:val="20"/>
        <w:szCs w:val="20"/>
      </w:rPr>
      <w:t xml:space="preserve"> </w:t>
    </w:r>
    <w:r w:rsidRPr="002149BC">
      <w:rPr>
        <w:b/>
        <w:sz w:val="20"/>
        <w:szCs w:val="20"/>
      </w:rPr>
      <w:t>F</w:t>
    </w:r>
    <w:r w:rsidRPr="002149BC">
      <w:rPr>
        <w:sz w:val="15"/>
        <w:szCs w:val="15"/>
      </w:rPr>
      <w:t>ÖRENINGE</w:t>
    </w:r>
    <w:r w:rsidRPr="002149BC">
      <w:rPr>
        <w:b/>
        <w:sz w:val="20"/>
        <w:szCs w:val="20"/>
      </w:rPr>
      <w:t>N</w:t>
    </w:r>
  </w:p>
  <w:p w14:paraId="7F9EAC29" w14:textId="77777777" w:rsidR="007C71BA" w:rsidRDefault="007C71BA" w:rsidP="004B2615">
    <w:pPr>
      <w:pStyle w:val="Normalwebb"/>
      <w:jc w:val="center"/>
      <w:rPr>
        <w:sz w:val="20"/>
        <w:szCs w:val="20"/>
      </w:rPr>
    </w:pPr>
    <w:r>
      <w:rPr>
        <w:sz w:val="20"/>
        <w:szCs w:val="20"/>
      </w:rPr>
      <w:t>Blasieholmsgatan 4B, 4tr, Box 1426, S-111 84 STOCKHOLM SWEDEN</w:t>
    </w:r>
    <w:r>
      <w:rPr>
        <w:sz w:val="20"/>
        <w:szCs w:val="20"/>
      </w:rPr>
      <w:br/>
    </w:r>
    <w:proofErr w:type="gramStart"/>
    <w:r>
      <w:rPr>
        <w:sz w:val="20"/>
        <w:szCs w:val="20"/>
      </w:rPr>
      <w:t>Telefon växel</w:t>
    </w:r>
    <w:proofErr w:type="gramEnd"/>
    <w:r>
      <w:rPr>
        <w:sz w:val="20"/>
        <w:szCs w:val="20"/>
      </w:rPr>
      <w:t xml:space="preserve"> +46 (0)8-562 607 00</w:t>
    </w:r>
  </w:p>
  <w:p w14:paraId="053F9530" w14:textId="77777777" w:rsidR="007C71BA" w:rsidRDefault="007C71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46CC" w14:textId="77777777" w:rsidR="004F1B8E" w:rsidRDefault="004F1B8E">
      <w:r>
        <w:separator/>
      </w:r>
    </w:p>
  </w:footnote>
  <w:footnote w:type="continuationSeparator" w:id="0">
    <w:p w14:paraId="5613705C" w14:textId="77777777" w:rsidR="004F1B8E" w:rsidRDefault="004F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03C8" w14:textId="77777777" w:rsidR="007C71BA" w:rsidRDefault="007C71BA" w:rsidP="005665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632C6F4" w14:textId="77777777" w:rsidR="007C71BA" w:rsidRDefault="007C71BA" w:rsidP="000C737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0075" w14:textId="77777777" w:rsidR="007C71BA" w:rsidRDefault="007C71BA" w:rsidP="005665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272B">
      <w:rPr>
        <w:rStyle w:val="Sidnummer"/>
        <w:noProof/>
      </w:rPr>
      <w:t>2</w:t>
    </w:r>
    <w:r>
      <w:rPr>
        <w:rStyle w:val="Sidnummer"/>
      </w:rPr>
      <w:fldChar w:fldCharType="end"/>
    </w:r>
  </w:p>
  <w:p w14:paraId="148F61D2" w14:textId="77777777" w:rsidR="007C71BA" w:rsidRDefault="007C71BA" w:rsidP="000C737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6014A"/>
    <w:multiLevelType w:val="singleLevel"/>
    <w:tmpl w:val="33D86B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" w15:restartNumberingAfterBreak="0">
    <w:nsid w:val="12A15D07"/>
    <w:multiLevelType w:val="hybridMultilevel"/>
    <w:tmpl w:val="3B30ED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2C2E"/>
    <w:multiLevelType w:val="hybridMultilevel"/>
    <w:tmpl w:val="3F0E6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F31"/>
    <w:multiLevelType w:val="hybridMultilevel"/>
    <w:tmpl w:val="E8988FB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1AC"/>
    <w:multiLevelType w:val="hybridMultilevel"/>
    <w:tmpl w:val="944E1C6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4D4DF3"/>
    <w:multiLevelType w:val="hybridMultilevel"/>
    <w:tmpl w:val="DD12B7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2E06"/>
    <w:multiLevelType w:val="hybridMultilevel"/>
    <w:tmpl w:val="BF5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62B4"/>
    <w:multiLevelType w:val="singleLevel"/>
    <w:tmpl w:val="33D86B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9" w15:restartNumberingAfterBreak="0">
    <w:nsid w:val="363E16C4"/>
    <w:multiLevelType w:val="hybridMultilevel"/>
    <w:tmpl w:val="1C962D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D6BA4"/>
    <w:multiLevelType w:val="hybridMultilevel"/>
    <w:tmpl w:val="7C0E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D038F"/>
    <w:multiLevelType w:val="hybridMultilevel"/>
    <w:tmpl w:val="5D9CA1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038"/>
    <w:multiLevelType w:val="multilevel"/>
    <w:tmpl w:val="AB78C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.%1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02050C"/>
    <w:multiLevelType w:val="hybridMultilevel"/>
    <w:tmpl w:val="B0C85C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06C6"/>
    <w:multiLevelType w:val="hybridMultilevel"/>
    <w:tmpl w:val="34E8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95B09"/>
    <w:multiLevelType w:val="hybridMultilevel"/>
    <w:tmpl w:val="4CD2A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6060"/>
    <w:multiLevelType w:val="singleLevel"/>
    <w:tmpl w:val="B45CD5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000A69"/>
    <w:multiLevelType w:val="hybridMultilevel"/>
    <w:tmpl w:val="257EA8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B941F8"/>
    <w:multiLevelType w:val="hybridMultilevel"/>
    <w:tmpl w:val="01BE2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78"/>
    <w:rsid w:val="000125E4"/>
    <w:rsid w:val="000352A5"/>
    <w:rsid w:val="0004031D"/>
    <w:rsid w:val="000510FF"/>
    <w:rsid w:val="00076850"/>
    <w:rsid w:val="0009125B"/>
    <w:rsid w:val="000A21BB"/>
    <w:rsid w:val="000B60ED"/>
    <w:rsid w:val="000C26B7"/>
    <w:rsid w:val="000C737E"/>
    <w:rsid w:val="000D3463"/>
    <w:rsid w:val="000E4407"/>
    <w:rsid w:val="000E609F"/>
    <w:rsid w:val="000F5493"/>
    <w:rsid w:val="001107BE"/>
    <w:rsid w:val="00141358"/>
    <w:rsid w:val="0014202E"/>
    <w:rsid w:val="00152514"/>
    <w:rsid w:val="00152C86"/>
    <w:rsid w:val="001624B3"/>
    <w:rsid w:val="001828A2"/>
    <w:rsid w:val="001A3D4C"/>
    <w:rsid w:val="001A6B29"/>
    <w:rsid w:val="001B0E01"/>
    <w:rsid w:val="001D3B67"/>
    <w:rsid w:val="001D5E12"/>
    <w:rsid w:val="001D6089"/>
    <w:rsid w:val="001E6EED"/>
    <w:rsid w:val="001E702E"/>
    <w:rsid w:val="001F2063"/>
    <w:rsid w:val="002009BF"/>
    <w:rsid w:val="00206DDB"/>
    <w:rsid w:val="00217F37"/>
    <w:rsid w:val="00221FDA"/>
    <w:rsid w:val="00227E37"/>
    <w:rsid w:val="00251132"/>
    <w:rsid w:val="00252C97"/>
    <w:rsid w:val="00280866"/>
    <w:rsid w:val="002911A1"/>
    <w:rsid w:val="002A50F8"/>
    <w:rsid w:val="002B3602"/>
    <w:rsid w:val="002B55E0"/>
    <w:rsid w:val="002B6379"/>
    <w:rsid w:val="002B745B"/>
    <w:rsid w:val="002C26FD"/>
    <w:rsid w:val="002C480E"/>
    <w:rsid w:val="002D0D61"/>
    <w:rsid w:val="002D3B04"/>
    <w:rsid w:val="002E71F7"/>
    <w:rsid w:val="002F2002"/>
    <w:rsid w:val="002F5C4B"/>
    <w:rsid w:val="0030515B"/>
    <w:rsid w:val="003068FA"/>
    <w:rsid w:val="00320DD0"/>
    <w:rsid w:val="00331483"/>
    <w:rsid w:val="003339FE"/>
    <w:rsid w:val="003434C7"/>
    <w:rsid w:val="0035137E"/>
    <w:rsid w:val="00380115"/>
    <w:rsid w:val="00382B63"/>
    <w:rsid w:val="00383497"/>
    <w:rsid w:val="00383907"/>
    <w:rsid w:val="0039413E"/>
    <w:rsid w:val="003B6C06"/>
    <w:rsid w:val="003C5B20"/>
    <w:rsid w:val="003E50FC"/>
    <w:rsid w:val="003E6F76"/>
    <w:rsid w:val="003F272B"/>
    <w:rsid w:val="003F295A"/>
    <w:rsid w:val="003F34E6"/>
    <w:rsid w:val="003F7B92"/>
    <w:rsid w:val="00406E95"/>
    <w:rsid w:val="0041472B"/>
    <w:rsid w:val="00427FD1"/>
    <w:rsid w:val="00432B8D"/>
    <w:rsid w:val="00455BB4"/>
    <w:rsid w:val="00473C16"/>
    <w:rsid w:val="00486AF7"/>
    <w:rsid w:val="00495D4E"/>
    <w:rsid w:val="004B2615"/>
    <w:rsid w:val="004C2161"/>
    <w:rsid w:val="004D7921"/>
    <w:rsid w:val="004F1B8E"/>
    <w:rsid w:val="005044C1"/>
    <w:rsid w:val="00522146"/>
    <w:rsid w:val="00522230"/>
    <w:rsid w:val="005248FA"/>
    <w:rsid w:val="00535811"/>
    <w:rsid w:val="0054322D"/>
    <w:rsid w:val="005544AD"/>
    <w:rsid w:val="005665D2"/>
    <w:rsid w:val="00573A84"/>
    <w:rsid w:val="005804DA"/>
    <w:rsid w:val="00584419"/>
    <w:rsid w:val="005D0AE8"/>
    <w:rsid w:val="005E6C6A"/>
    <w:rsid w:val="00602545"/>
    <w:rsid w:val="00605A84"/>
    <w:rsid w:val="006330A7"/>
    <w:rsid w:val="0064142C"/>
    <w:rsid w:val="00666B7B"/>
    <w:rsid w:val="006939E8"/>
    <w:rsid w:val="006940EF"/>
    <w:rsid w:val="006943CD"/>
    <w:rsid w:val="006A64E1"/>
    <w:rsid w:val="006A6A85"/>
    <w:rsid w:val="006F2649"/>
    <w:rsid w:val="006F52F9"/>
    <w:rsid w:val="0072720E"/>
    <w:rsid w:val="0073638F"/>
    <w:rsid w:val="007512A3"/>
    <w:rsid w:val="007515B0"/>
    <w:rsid w:val="00751A61"/>
    <w:rsid w:val="00754832"/>
    <w:rsid w:val="007655C8"/>
    <w:rsid w:val="00766F0C"/>
    <w:rsid w:val="00796190"/>
    <w:rsid w:val="007A09D5"/>
    <w:rsid w:val="007C3C9F"/>
    <w:rsid w:val="007C71BA"/>
    <w:rsid w:val="007D2C4C"/>
    <w:rsid w:val="007D62F1"/>
    <w:rsid w:val="007E38A6"/>
    <w:rsid w:val="007E5151"/>
    <w:rsid w:val="007F2D53"/>
    <w:rsid w:val="007F4042"/>
    <w:rsid w:val="00844E20"/>
    <w:rsid w:val="008573D1"/>
    <w:rsid w:val="0089724A"/>
    <w:rsid w:val="008B72A4"/>
    <w:rsid w:val="008D1FA9"/>
    <w:rsid w:val="008D2203"/>
    <w:rsid w:val="008E5E95"/>
    <w:rsid w:val="00904310"/>
    <w:rsid w:val="00941FDA"/>
    <w:rsid w:val="00985185"/>
    <w:rsid w:val="00987783"/>
    <w:rsid w:val="00991B30"/>
    <w:rsid w:val="009A3E40"/>
    <w:rsid w:val="009C525A"/>
    <w:rsid w:val="009F347E"/>
    <w:rsid w:val="009F732E"/>
    <w:rsid w:val="00A272E9"/>
    <w:rsid w:val="00A27D9A"/>
    <w:rsid w:val="00A56C47"/>
    <w:rsid w:val="00A62C9A"/>
    <w:rsid w:val="00A67338"/>
    <w:rsid w:val="00A705F4"/>
    <w:rsid w:val="00A93A94"/>
    <w:rsid w:val="00AA36B0"/>
    <w:rsid w:val="00AA3C19"/>
    <w:rsid w:val="00AB1D1B"/>
    <w:rsid w:val="00AB29D1"/>
    <w:rsid w:val="00AC318A"/>
    <w:rsid w:val="00AC60FD"/>
    <w:rsid w:val="00AF056E"/>
    <w:rsid w:val="00B151E6"/>
    <w:rsid w:val="00B15725"/>
    <w:rsid w:val="00B2348D"/>
    <w:rsid w:val="00B23985"/>
    <w:rsid w:val="00B435E2"/>
    <w:rsid w:val="00B46FBA"/>
    <w:rsid w:val="00B47213"/>
    <w:rsid w:val="00B61097"/>
    <w:rsid w:val="00B63C54"/>
    <w:rsid w:val="00B953FA"/>
    <w:rsid w:val="00B96C9F"/>
    <w:rsid w:val="00BA0F6C"/>
    <w:rsid w:val="00BC651D"/>
    <w:rsid w:val="00BC674B"/>
    <w:rsid w:val="00BE5858"/>
    <w:rsid w:val="00C06B8D"/>
    <w:rsid w:val="00C11030"/>
    <w:rsid w:val="00C12C98"/>
    <w:rsid w:val="00C350B5"/>
    <w:rsid w:val="00C4018C"/>
    <w:rsid w:val="00C80D02"/>
    <w:rsid w:val="00C91AB4"/>
    <w:rsid w:val="00CB2B7B"/>
    <w:rsid w:val="00CB2F89"/>
    <w:rsid w:val="00CC3B0D"/>
    <w:rsid w:val="00CD683A"/>
    <w:rsid w:val="00D0355A"/>
    <w:rsid w:val="00D049B3"/>
    <w:rsid w:val="00D3015C"/>
    <w:rsid w:val="00D33C60"/>
    <w:rsid w:val="00D34959"/>
    <w:rsid w:val="00D35041"/>
    <w:rsid w:val="00D40DCF"/>
    <w:rsid w:val="00D51B37"/>
    <w:rsid w:val="00D5345F"/>
    <w:rsid w:val="00D54FA8"/>
    <w:rsid w:val="00D552BD"/>
    <w:rsid w:val="00D644E0"/>
    <w:rsid w:val="00D6520C"/>
    <w:rsid w:val="00D7077E"/>
    <w:rsid w:val="00D71DA3"/>
    <w:rsid w:val="00D75B78"/>
    <w:rsid w:val="00D81623"/>
    <w:rsid w:val="00DA0D4D"/>
    <w:rsid w:val="00DE35D4"/>
    <w:rsid w:val="00E06453"/>
    <w:rsid w:val="00E16691"/>
    <w:rsid w:val="00E3182A"/>
    <w:rsid w:val="00E424FA"/>
    <w:rsid w:val="00E50967"/>
    <w:rsid w:val="00E55C5A"/>
    <w:rsid w:val="00E5772C"/>
    <w:rsid w:val="00E71744"/>
    <w:rsid w:val="00EA6271"/>
    <w:rsid w:val="00EB67B9"/>
    <w:rsid w:val="00EC3836"/>
    <w:rsid w:val="00ED7D10"/>
    <w:rsid w:val="00EE55FB"/>
    <w:rsid w:val="00F04F67"/>
    <w:rsid w:val="00F111BC"/>
    <w:rsid w:val="00F27386"/>
    <w:rsid w:val="00F3079A"/>
    <w:rsid w:val="00F36716"/>
    <w:rsid w:val="00F373AE"/>
    <w:rsid w:val="00F40715"/>
    <w:rsid w:val="00F5119B"/>
    <w:rsid w:val="00F63619"/>
    <w:rsid w:val="00F7265E"/>
    <w:rsid w:val="00F905B9"/>
    <w:rsid w:val="00F90A84"/>
    <w:rsid w:val="00FD268B"/>
    <w:rsid w:val="00FE39F4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D7DF2D"/>
  <w15:chartTrackingRefBased/>
  <w15:docId w15:val="{B84FCF51-3EB7-4B28-92EB-602AFA95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252C97"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link w:val="BrdtextChar"/>
    <w:rPr>
      <w:sz w:val="32"/>
      <w:u w:val="single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320DD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rsid w:val="001E6EED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Sidhuvud">
    <w:name w:val="header"/>
    <w:basedOn w:val="Normal"/>
    <w:rsid w:val="000C73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C737E"/>
  </w:style>
  <w:style w:type="paragraph" w:styleId="Sidfot">
    <w:name w:val="footer"/>
    <w:basedOn w:val="Normal"/>
    <w:rsid w:val="000C737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7655C8"/>
    <w:pPr>
      <w:ind w:left="1304"/>
    </w:pPr>
  </w:style>
  <w:style w:type="character" w:styleId="Kommentarsreferens">
    <w:name w:val="annotation reference"/>
    <w:uiPriority w:val="99"/>
    <w:rsid w:val="002A50F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2A50F8"/>
    <w:rPr>
      <w:sz w:val="20"/>
      <w:szCs w:val="20"/>
      <w:lang w:val="x-none"/>
    </w:rPr>
  </w:style>
  <w:style w:type="character" w:customStyle="1" w:styleId="KommentarerChar">
    <w:name w:val="Kommentarer Char"/>
    <w:link w:val="Kommentarer"/>
    <w:uiPriority w:val="99"/>
    <w:rsid w:val="002A50F8"/>
    <w:rPr>
      <w:rFonts w:ascii="Arial" w:hAnsi="Arial"/>
      <w:bCs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rsid w:val="002A50F8"/>
    <w:rPr>
      <w:b/>
    </w:rPr>
  </w:style>
  <w:style w:type="character" w:customStyle="1" w:styleId="KommentarsmneChar">
    <w:name w:val="Kommentarsämne Char"/>
    <w:link w:val="Kommentarsmne"/>
    <w:rsid w:val="002A50F8"/>
    <w:rPr>
      <w:rFonts w:ascii="Arial" w:hAnsi="Arial"/>
      <w:b/>
      <w:bCs/>
      <w:lang w:eastAsia="sv-SE"/>
    </w:rPr>
  </w:style>
  <w:style w:type="paragraph" w:customStyle="1" w:styleId="Default">
    <w:name w:val="Default"/>
    <w:rsid w:val="00CB2F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985185"/>
    <w:pPr>
      <w:spacing w:after="243"/>
    </w:pPr>
    <w:rPr>
      <w:color w:val="auto"/>
    </w:rPr>
  </w:style>
  <w:style w:type="paragraph" w:styleId="Fotnotstext">
    <w:name w:val="footnote text"/>
    <w:basedOn w:val="Normal"/>
    <w:link w:val="FotnotstextChar"/>
    <w:uiPriority w:val="99"/>
    <w:rsid w:val="00985185"/>
    <w:rPr>
      <w:rFonts w:ascii="Times New Roman" w:hAnsi="Times New Roman"/>
      <w:bCs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85185"/>
  </w:style>
  <w:style w:type="character" w:styleId="Fotnotsreferens">
    <w:name w:val="footnote reference"/>
    <w:uiPriority w:val="99"/>
    <w:rsid w:val="00985185"/>
    <w:rPr>
      <w:rFonts w:cs="Times New Roman"/>
      <w:vertAlign w:val="superscript"/>
    </w:rPr>
  </w:style>
  <w:style w:type="character" w:styleId="Stark">
    <w:name w:val="Strong"/>
    <w:uiPriority w:val="22"/>
    <w:qFormat/>
    <w:rsid w:val="000E4407"/>
    <w:rPr>
      <w:b/>
      <w:bCs/>
    </w:rPr>
  </w:style>
  <w:style w:type="character" w:customStyle="1" w:styleId="BrdtextChar">
    <w:name w:val="Brödtext Char"/>
    <w:link w:val="Brdtext"/>
    <w:rsid w:val="00152C86"/>
    <w:rPr>
      <w:rFonts w:ascii="Arial" w:hAnsi="Arial"/>
      <w:bCs/>
      <w:sz w:val="32"/>
      <w:szCs w:val="24"/>
      <w:u w:val="single"/>
    </w:rPr>
  </w:style>
  <w:style w:type="character" w:customStyle="1" w:styleId="Rubrik3Char">
    <w:name w:val="Rubrik 3 Char"/>
    <w:link w:val="Rubrik3"/>
    <w:semiHidden/>
    <w:rsid w:val="00252C9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31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9508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B32-E918-46EB-A18F-EA0582DBE8EE}"/>
</file>

<file path=customXml/itemProps2.xml><?xml version="1.0" encoding="utf-8"?>
<ds:datastoreItem xmlns:ds="http://schemas.openxmlformats.org/officeDocument/2006/customXml" ds:itemID="{818439C4-78AE-4F80-9D1C-16E4D37B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F6E5-AEFA-4D77-B94D-AF8CFE064B5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337fc17-2acf-4d77-80c9-45ed8debd66b"/>
    <ds:schemaRef ds:uri="http://schemas.microsoft.com/office/infopath/2007/PartnerControls"/>
    <ds:schemaRef ds:uri="c297726e-2378-4054-9597-3d45f8d54df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6E4996-07ED-444B-82C9-115670A6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Regler om affärer med finansiella instrument och valuta m m gjorda för egen räkning av anställda och uppdragstagare i värdepap</vt:lpstr>
      <vt:lpstr>Regler om affärer med finansiella instrument och valuta m m gjorda för egen räkning av anställda och uppdragstagare i värdepap</vt:lpstr>
    </vt:vector>
  </TitlesOfParts>
  <Company>Svenska Fondhandlareföreningens Service AB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om affärer med finansiella instrument och valuta m m gjorda för egen räkning av anställda och uppdragstagare i värdepap</dc:title>
  <dc:subject/>
  <dc:creator>Lars Nordström</dc:creator>
  <cp:keywords/>
  <cp:lastModifiedBy>Enel Lundblad</cp:lastModifiedBy>
  <cp:revision>2</cp:revision>
  <cp:lastPrinted>2019-01-17T17:17:00Z</cp:lastPrinted>
  <dcterms:created xsi:type="dcterms:W3CDTF">2020-09-17T12:23:00Z</dcterms:created>
  <dcterms:modified xsi:type="dcterms:W3CDTF">2020-09-17T12:23:00Z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